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705E6" w14:textId="77777777" w:rsidR="00CA3B3F" w:rsidRPr="003D3C60" w:rsidRDefault="00CA3B3F">
      <w:pPr>
        <w:pStyle w:val="Heading1"/>
        <w:spacing w:before="0" w:line="240" w:lineRule="auto"/>
        <w:jc w:val="right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val="en-GB"/>
        </w:rPr>
      </w:pPr>
    </w:p>
    <w:p w14:paraId="666A3054" w14:textId="77777777" w:rsidR="00CA3B3F" w:rsidRPr="003D3C60" w:rsidRDefault="00000000">
      <w:pPr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3C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Annex 2 to the Description of Kauno </w:t>
      </w:r>
      <w:proofErr w:type="spellStart"/>
      <w:r w:rsidRPr="003D3C60">
        <w:rPr>
          <w:rFonts w:ascii="Times New Roman" w:eastAsia="Times New Roman" w:hAnsi="Times New Roman" w:cs="Times New Roman"/>
          <w:sz w:val="24"/>
          <w:szCs w:val="24"/>
          <w:lang w:val="en-GB"/>
        </w:rPr>
        <w:t>kolegija</w:t>
      </w:r>
      <w:proofErr w:type="spellEnd"/>
      <w:r w:rsidRPr="003D3C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Gender Equality Plan for 2026–2030</w:t>
      </w:r>
    </w:p>
    <w:p w14:paraId="12CCF663" w14:textId="77777777" w:rsidR="00CA3B3F" w:rsidRPr="003D3C60" w:rsidRDefault="00000000">
      <w:pPr>
        <w:pStyle w:val="Heading1"/>
        <w:jc w:val="center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val="en-GB"/>
        </w:rPr>
      </w:pPr>
      <w:r w:rsidRPr="003D3C60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val="en-GB"/>
        </w:rPr>
        <w:t>KAUNO KOLEGIJA GENDER EQUALITY PLAN FOR 2026–2030</w:t>
      </w:r>
    </w:p>
    <w:p w14:paraId="5C14EEB5" w14:textId="77777777" w:rsidR="00CA3B3F" w:rsidRPr="003D3C60" w:rsidRDefault="00CA3B3F">
      <w:pPr>
        <w:rPr>
          <w:lang w:val="en-GB"/>
        </w:rPr>
      </w:pPr>
    </w:p>
    <w:tbl>
      <w:tblPr>
        <w:tblStyle w:val="a0"/>
        <w:tblW w:w="145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7"/>
        <w:gridCol w:w="2741"/>
        <w:gridCol w:w="3055"/>
        <w:gridCol w:w="2106"/>
        <w:gridCol w:w="1474"/>
        <w:gridCol w:w="2770"/>
      </w:tblGrid>
      <w:tr w:rsidR="00992564" w:rsidRPr="003D3C60" w14:paraId="1D866E17" w14:textId="77777777" w:rsidTr="00C37BFE">
        <w:trPr>
          <w:trHeight w:val="516"/>
          <w:tblHeader/>
        </w:trPr>
        <w:tc>
          <w:tcPr>
            <w:tcW w:w="2417" w:type="dxa"/>
            <w:shd w:val="clear" w:color="auto" w:fill="EDEDED" w:themeFill="accent3" w:themeFillTint="33"/>
          </w:tcPr>
          <w:p w14:paraId="2A167F2E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b/>
                <w:lang w:val="en-GB"/>
              </w:rPr>
              <w:t>Aim</w:t>
            </w:r>
          </w:p>
        </w:tc>
        <w:tc>
          <w:tcPr>
            <w:tcW w:w="2741" w:type="dxa"/>
            <w:shd w:val="clear" w:color="auto" w:fill="EDEDED" w:themeFill="accent3" w:themeFillTint="33"/>
          </w:tcPr>
          <w:p w14:paraId="3C19D0FE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b/>
                <w:lang w:val="en-GB"/>
              </w:rPr>
              <w:t>Objectives</w:t>
            </w:r>
          </w:p>
        </w:tc>
        <w:tc>
          <w:tcPr>
            <w:tcW w:w="3055" w:type="dxa"/>
            <w:shd w:val="clear" w:color="auto" w:fill="EDEDED" w:themeFill="accent3" w:themeFillTint="33"/>
          </w:tcPr>
          <w:p w14:paraId="45736C7A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b/>
                <w:lang w:val="en-GB"/>
              </w:rPr>
              <w:t>Measures</w:t>
            </w:r>
          </w:p>
        </w:tc>
        <w:tc>
          <w:tcPr>
            <w:tcW w:w="2106" w:type="dxa"/>
            <w:shd w:val="clear" w:color="auto" w:fill="EDEDED" w:themeFill="accent3" w:themeFillTint="33"/>
          </w:tcPr>
          <w:p w14:paraId="781553BE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b/>
                <w:lang w:val="en-GB"/>
              </w:rPr>
              <w:t>Responsible Unit</w:t>
            </w:r>
          </w:p>
        </w:tc>
        <w:tc>
          <w:tcPr>
            <w:tcW w:w="1474" w:type="dxa"/>
            <w:shd w:val="clear" w:color="auto" w:fill="EDEDED" w:themeFill="accent3" w:themeFillTint="33"/>
          </w:tcPr>
          <w:p w14:paraId="653A8E8A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b/>
                <w:lang w:val="en-GB"/>
              </w:rPr>
              <w:t>Deadline</w:t>
            </w:r>
          </w:p>
        </w:tc>
        <w:tc>
          <w:tcPr>
            <w:tcW w:w="2770" w:type="dxa"/>
            <w:shd w:val="clear" w:color="auto" w:fill="EDEDED" w:themeFill="accent3" w:themeFillTint="33"/>
          </w:tcPr>
          <w:p w14:paraId="127B4157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b/>
                <w:lang w:val="en-GB"/>
              </w:rPr>
              <w:t>Evaluation Criterion</w:t>
            </w:r>
          </w:p>
        </w:tc>
      </w:tr>
      <w:tr w:rsidR="00992564" w:rsidRPr="003D3C60" w14:paraId="56EE392B" w14:textId="77777777">
        <w:tc>
          <w:tcPr>
            <w:tcW w:w="14563" w:type="dxa"/>
            <w:gridSpan w:val="6"/>
          </w:tcPr>
          <w:p w14:paraId="493A26C5" w14:textId="77777777" w:rsidR="00CA3B3F" w:rsidRPr="003D3C60" w:rsidRDefault="00000000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I. Gender balance in governance and decision-making</w:t>
            </w:r>
          </w:p>
        </w:tc>
      </w:tr>
      <w:tr w:rsidR="00992564" w:rsidRPr="003D3C60" w14:paraId="35263B98" w14:textId="77777777">
        <w:tc>
          <w:tcPr>
            <w:tcW w:w="2417" w:type="dxa"/>
            <w:vMerge w:val="restart"/>
          </w:tcPr>
          <w:p w14:paraId="0C140C27" w14:textId="77777777" w:rsidR="00CA3B3F" w:rsidRPr="003D3C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bookmarkStart w:id="0" w:name="_heading=h.nqiateuqhlr4" w:colFirst="0" w:colLast="0"/>
            <w:bookmarkEnd w:id="0"/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 Strive for gender balance in governance and decision-making.</w:t>
            </w:r>
          </w:p>
        </w:tc>
        <w:tc>
          <w:tcPr>
            <w:tcW w:w="2741" w:type="dxa"/>
          </w:tcPr>
          <w:p w14:paraId="7822EC5C" w14:textId="77777777" w:rsidR="00CA3B3F" w:rsidRPr="003D3C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1.1. Ensure evidence-based gender balance in governance and decision-making processes.</w:t>
            </w:r>
          </w:p>
        </w:tc>
        <w:tc>
          <w:tcPr>
            <w:tcW w:w="3055" w:type="dxa"/>
          </w:tcPr>
          <w:p w14:paraId="6ED28E77" w14:textId="77777777" w:rsidR="00CA3B3F" w:rsidRPr="003D3C60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1.1.1. The principle of gender equality is incorporated into the College’s strategic documents as a core value. </w:t>
            </w:r>
          </w:p>
          <w:p w14:paraId="1EB04D9D" w14:textId="77777777" w:rsidR="00CA3B3F" w:rsidRPr="003D3C60" w:rsidRDefault="00000000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1.1.2. </w:t>
            </w:r>
            <w:r w:rsidRPr="003D3C60">
              <w:rPr>
                <w:rFonts w:ascii="Times New Roman" w:eastAsia="Times New Roman" w:hAnsi="Times New Roman" w:cs="Times New Roman"/>
                <w:lang w:val="en-GB"/>
              </w:rPr>
              <w:t>Recommendations are provided to administrative units regarding the format for collecting data on the implementation of gender policy.</w:t>
            </w:r>
          </w:p>
          <w:p w14:paraId="6C9E468A" w14:textId="77777777" w:rsidR="00CA3B3F" w:rsidRPr="003D3C60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1.1.3. A report on gender balance is prepared and made publicly available.</w:t>
            </w:r>
          </w:p>
        </w:tc>
        <w:tc>
          <w:tcPr>
            <w:tcW w:w="2106" w:type="dxa"/>
          </w:tcPr>
          <w:p w14:paraId="0F05196B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Strategic Planning and Quality Management Unit; Head of Community Well-being</w:t>
            </w:r>
          </w:p>
        </w:tc>
        <w:tc>
          <w:tcPr>
            <w:tcW w:w="1474" w:type="dxa"/>
          </w:tcPr>
          <w:p w14:paraId="51ACC5F5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Since 2026</w:t>
            </w:r>
          </w:p>
        </w:tc>
        <w:tc>
          <w:tcPr>
            <w:tcW w:w="2770" w:type="dxa"/>
          </w:tcPr>
          <w:p w14:paraId="6C3328A9" w14:textId="77777777" w:rsidR="00CA3B3F" w:rsidRPr="003D3C60" w:rsidRDefault="00000000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The principle of gender equality has been incorporated into all key institutional documents.</w:t>
            </w:r>
          </w:p>
          <w:p w14:paraId="01ABC160" w14:textId="77777777" w:rsidR="00CA3B3F" w:rsidRPr="003D3C60" w:rsidRDefault="00000000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Annual Report on Gender Equality.</w:t>
            </w:r>
          </w:p>
        </w:tc>
      </w:tr>
      <w:tr w:rsidR="00992564" w:rsidRPr="003D3C60" w14:paraId="6BF1855F" w14:textId="77777777">
        <w:tc>
          <w:tcPr>
            <w:tcW w:w="2417" w:type="dxa"/>
            <w:vMerge/>
          </w:tcPr>
          <w:p w14:paraId="16C90726" w14:textId="77777777" w:rsidR="00CA3B3F" w:rsidRPr="003D3C60" w:rsidRDefault="00CA3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741" w:type="dxa"/>
            <w:tcBorders>
              <w:bottom w:val="single" w:sz="4" w:space="0" w:color="000000"/>
            </w:tcBorders>
          </w:tcPr>
          <w:p w14:paraId="3923E784" w14:textId="77777777" w:rsidR="00CA3B3F" w:rsidRPr="003D3C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1.2. Enhance the involvement of the underrepresented gender in governance and decision-making bodies.</w:t>
            </w:r>
          </w:p>
        </w:tc>
        <w:tc>
          <w:tcPr>
            <w:tcW w:w="3055" w:type="dxa"/>
            <w:tcBorders>
              <w:bottom w:val="single" w:sz="4" w:space="0" w:color="000000"/>
            </w:tcBorders>
          </w:tcPr>
          <w:p w14:paraId="31757AF6" w14:textId="77777777" w:rsidR="00CA3B3F" w:rsidRPr="003D3C60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1.2.1. Representatives of both genders are included, where possible, in the committees, commissions, and working groups established by </w:t>
            </w:r>
            <w:proofErr w:type="spellStart"/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Kolegija</w:t>
            </w:r>
            <w:proofErr w:type="spellEnd"/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</w:t>
            </w:r>
          </w:p>
          <w:p w14:paraId="02FAF834" w14:textId="77777777" w:rsidR="00CA3B3F" w:rsidRPr="003D3C60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1.2.2. Application of the invitation principle for the underrepresented gender.</w:t>
            </w:r>
          </w:p>
        </w:tc>
        <w:tc>
          <w:tcPr>
            <w:tcW w:w="2106" w:type="dxa"/>
            <w:tcBorders>
              <w:bottom w:val="single" w:sz="4" w:space="0" w:color="000000"/>
            </w:tcBorders>
          </w:tcPr>
          <w:p w14:paraId="71108548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Management</w:t>
            </w:r>
          </w:p>
        </w:tc>
        <w:tc>
          <w:tcPr>
            <w:tcW w:w="1474" w:type="dxa"/>
            <w:tcBorders>
              <w:bottom w:val="single" w:sz="4" w:space="0" w:color="000000"/>
            </w:tcBorders>
          </w:tcPr>
          <w:p w14:paraId="21D60350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On an ongoing basis</w:t>
            </w:r>
          </w:p>
        </w:tc>
        <w:tc>
          <w:tcPr>
            <w:tcW w:w="2770" w:type="dxa"/>
            <w:tcBorders>
              <w:bottom w:val="single" w:sz="4" w:space="0" w:color="000000"/>
            </w:tcBorders>
          </w:tcPr>
          <w:p w14:paraId="2A49CAB0" w14:textId="77777777" w:rsidR="00CA3B3F" w:rsidRPr="003D3C60" w:rsidRDefault="00000000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The share of committees, commissions, and working groups with at least one representative of each gender, %</w:t>
            </w:r>
          </w:p>
        </w:tc>
      </w:tr>
      <w:tr w:rsidR="00992564" w:rsidRPr="003D3C60" w14:paraId="7430FF2D" w14:textId="77777777">
        <w:tc>
          <w:tcPr>
            <w:tcW w:w="2417" w:type="dxa"/>
            <w:vMerge/>
          </w:tcPr>
          <w:p w14:paraId="2B9679A3" w14:textId="77777777" w:rsidR="00CA3B3F" w:rsidRPr="003D3C60" w:rsidRDefault="00CA3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741" w:type="dxa"/>
            <w:tcBorders>
              <w:bottom w:val="single" w:sz="4" w:space="0" w:color="000000"/>
            </w:tcBorders>
          </w:tcPr>
          <w:p w14:paraId="46C519E3" w14:textId="77777777" w:rsidR="00CA3B3F" w:rsidRPr="003D3C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1.3. Periodically assess gender balance monitoring indicators in the field of management.</w:t>
            </w:r>
          </w:p>
        </w:tc>
        <w:tc>
          <w:tcPr>
            <w:tcW w:w="3055" w:type="dxa"/>
            <w:tcBorders>
              <w:bottom w:val="single" w:sz="4" w:space="0" w:color="000000"/>
            </w:tcBorders>
          </w:tcPr>
          <w:p w14:paraId="127EF1BC" w14:textId="77777777" w:rsidR="00CA3B3F" w:rsidRPr="003D3C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1.3.1. The aim is to ensure that the underrepresented gender constitutes at least 30% of management bodies and decision-making positions. </w:t>
            </w:r>
          </w:p>
          <w:p w14:paraId="2B0C6BBA" w14:textId="77777777" w:rsidR="00CA3B3F" w:rsidRPr="003D3C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lastRenderedPageBreak/>
              <w:t xml:space="preserve">1.3.2. Regular analyses are conducted to monitor </w:t>
            </w:r>
            <w:r w:rsidRPr="003D3C60">
              <w:rPr>
                <w:rFonts w:ascii="Times New Roman" w:eastAsia="Times New Roman" w:hAnsi="Times New Roman" w:cs="Times New Roman"/>
                <w:lang w:val="en-GB"/>
              </w:rPr>
              <w:t>the gender balance</w:t>
            </w: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of employees participating in committees, commissions, and working groups.</w:t>
            </w:r>
          </w:p>
        </w:tc>
        <w:tc>
          <w:tcPr>
            <w:tcW w:w="2106" w:type="dxa"/>
            <w:tcBorders>
              <w:bottom w:val="single" w:sz="4" w:space="0" w:color="000000"/>
            </w:tcBorders>
          </w:tcPr>
          <w:p w14:paraId="168D7B6A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lastRenderedPageBreak/>
              <w:t>Head of Community Well-being</w:t>
            </w:r>
          </w:p>
        </w:tc>
        <w:tc>
          <w:tcPr>
            <w:tcW w:w="1474" w:type="dxa"/>
            <w:tcBorders>
              <w:bottom w:val="single" w:sz="4" w:space="0" w:color="000000"/>
            </w:tcBorders>
          </w:tcPr>
          <w:p w14:paraId="4CC457DD" w14:textId="70BF1977" w:rsidR="00CA3B3F" w:rsidRPr="003D3C60" w:rsidRDefault="003D3C6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Annually</w:t>
            </w:r>
          </w:p>
        </w:tc>
        <w:tc>
          <w:tcPr>
            <w:tcW w:w="2770" w:type="dxa"/>
            <w:tcBorders>
              <w:bottom w:val="single" w:sz="4" w:space="0" w:color="000000"/>
            </w:tcBorders>
          </w:tcPr>
          <w:p w14:paraId="236BA8A1" w14:textId="77777777" w:rsidR="00CA3B3F" w:rsidRPr="003D3C60" w:rsidRDefault="00000000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Regular monitoring of gender balance in leadership positions based on collected and analysed data.</w:t>
            </w:r>
          </w:p>
        </w:tc>
      </w:tr>
      <w:tr w:rsidR="00992564" w:rsidRPr="003D3C60" w14:paraId="0826056C" w14:textId="77777777">
        <w:tc>
          <w:tcPr>
            <w:tcW w:w="14563" w:type="dxa"/>
            <w:gridSpan w:val="6"/>
            <w:tcBorders>
              <w:top w:val="nil"/>
            </w:tcBorders>
          </w:tcPr>
          <w:p w14:paraId="16BA679F" w14:textId="77777777" w:rsidR="00CA3B3F" w:rsidRPr="003D3C60" w:rsidRDefault="00000000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II. Gender equality in employment and career development</w:t>
            </w:r>
          </w:p>
        </w:tc>
      </w:tr>
      <w:tr w:rsidR="00992564" w:rsidRPr="003D3C60" w14:paraId="33DD9E8B" w14:textId="77777777">
        <w:trPr>
          <w:trHeight w:val="3258"/>
        </w:trPr>
        <w:tc>
          <w:tcPr>
            <w:tcW w:w="2417" w:type="dxa"/>
            <w:vMerge w:val="restart"/>
            <w:tcBorders>
              <w:bottom w:val="single" w:sz="4" w:space="0" w:color="000000"/>
            </w:tcBorders>
          </w:tcPr>
          <w:p w14:paraId="35AABEBA" w14:textId="77777777" w:rsidR="00CA3B3F" w:rsidRPr="003D3C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2. Ensure equal opportunities for all genders to gain employment, develop professionally, and pursue a career at Kauno </w:t>
            </w:r>
            <w:proofErr w:type="spellStart"/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kolegija</w:t>
            </w:r>
            <w:proofErr w:type="spellEnd"/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</w:t>
            </w:r>
          </w:p>
        </w:tc>
        <w:tc>
          <w:tcPr>
            <w:tcW w:w="2741" w:type="dxa"/>
          </w:tcPr>
          <w:p w14:paraId="7263ABC6" w14:textId="77777777" w:rsidR="00CA3B3F" w:rsidRPr="003D3C60" w:rsidRDefault="00000000" w:rsidP="00CF2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  <w:tab w:val="left" w:pos="1418"/>
                <w:tab w:val="left" w:pos="1843"/>
              </w:tabs>
              <w:ind w:firstLine="20"/>
              <w:jc w:val="both"/>
              <w:rPr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2.1. Ensure the application of gender equality and inclusion principles in recruitment processes.</w:t>
            </w:r>
          </w:p>
        </w:tc>
        <w:tc>
          <w:tcPr>
            <w:tcW w:w="3055" w:type="dxa"/>
          </w:tcPr>
          <w:p w14:paraId="74C1D2B2" w14:textId="77777777" w:rsidR="00CA3B3F" w:rsidRPr="003D3C60" w:rsidRDefault="00000000" w:rsidP="00CF2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2.1.1. Job advertisements include information about Kauno </w:t>
            </w:r>
            <w:proofErr w:type="spellStart"/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kolegija’s</w:t>
            </w:r>
            <w:proofErr w:type="spellEnd"/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commitment to the principle of equal opportunities.</w:t>
            </w:r>
          </w:p>
          <w:p w14:paraId="4ABCFBF6" w14:textId="77777777" w:rsidR="00CA3B3F" w:rsidRPr="003D3C60" w:rsidRDefault="00000000" w:rsidP="00CF2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2.1.2. Gender-neutral language is used throughout recruitment communication.</w:t>
            </w:r>
          </w:p>
          <w:p w14:paraId="4F1AEB9A" w14:textId="77777777" w:rsidR="00CA3B3F" w:rsidRPr="003D3C60" w:rsidRDefault="00000000" w:rsidP="00CF2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2.1.3. When updating the documents regulating staff recruitment procedures, the gender equality </w:t>
            </w:r>
            <w:r w:rsidRPr="003D3C60">
              <w:rPr>
                <w:rFonts w:ascii="Times New Roman" w:eastAsia="Times New Roman" w:hAnsi="Times New Roman" w:cs="Times New Roman"/>
                <w:lang w:val="en-GB"/>
              </w:rPr>
              <w:t>aspect</w:t>
            </w: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is </w:t>
            </w:r>
            <w:r w:rsidRPr="003D3C60">
              <w:rPr>
                <w:rFonts w:ascii="Times New Roman" w:eastAsia="Times New Roman" w:hAnsi="Times New Roman" w:cs="Times New Roman"/>
                <w:lang w:val="en-GB"/>
              </w:rPr>
              <w:t>integrated</w:t>
            </w: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</w:t>
            </w:r>
          </w:p>
          <w:p w14:paraId="56CD479D" w14:textId="77777777" w:rsidR="00CA3B3F" w:rsidRPr="003D3C60" w:rsidRDefault="00000000" w:rsidP="00CF2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2.1.4. The aim is to ensure</w:t>
            </w:r>
            <w:r w:rsidRPr="003D3C60">
              <w:rPr>
                <w:rFonts w:ascii="Times New Roman" w:eastAsia="Times New Roman" w:hAnsi="Times New Roman" w:cs="Times New Roman"/>
                <w:lang w:val="en-GB"/>
              </w:rPr>
              <w:t xml:space="preserve"> the participation of representatives of both genders in staff recruitment and selection committees.</w:t>
            </w:r>
          </w:p>
        </w:tc>
        <w:tc>
          <w:tcPr>
            <w:tcW w:w="2106" w:type="dxa"/>
          </w:tcPr>
          <w:p w14:paraId="1C41359E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Human Resources Unit; Head of Community Well-being</w:t>
            </w:r>
          </w:p>
        </w:tc>
        <w:tc>
          <w:tcPr>
            <w:tcW w:w="1474" w:type="dxa"/>
          </w:tcPr>
          <w:p w14:paraId="0CB2B13D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On an ongoing basis</w:t>
            </w:r>
          </w:p>
        </w:tc>
        <w:tc>
          <w:tcPr>
            <w:tcW w:w="2770" w:type="dxa"/>
          </w:tcPr>
          <w:p w14:paraId="3E462589" w14:textId="77777777" w:rsidR="00CA3B3F" w:rsidRPr="003D3C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All job advertisements are formulated in gender-neutral language.</w:t>
            </w:r>
          </w:p>
          <w:p w14:paraId="241AD156" w14:textId="77777777" w:rsidR="00CA3B3F" w:rsidRPr="003D3C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Representatives of both genders participate in recruitment and selection committees.</w:t>
            </w:r>
          </w:p>
        </w:tc>
      </w:tr>
      <w:tr w:rsidR="00992564" w:rsidRPr="003D3C60" w14:paraId="5AD33C86" w14:textId="77777777">
        <w:tc>
          <w:tcPr>
            <w:tcW w:w="2417" w:type="dxa"/>
            <w:vMerge/>
            <w:tcBorders>
              <w:bottom w:val="single" w:sz="4" w:space="0" w:color="000000"/>
            </w:tcBorders>
          </w:tcPr>
          <w:p w14:paraId="58180D37" w14:textId="77777777" w:rsidR="00CA3B3F" w:rsidRPr="003D3C60" w:rsidRDefault="00CA3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2741" w:type="dxa"/>
          </w:tcPr>
          <w:p w14:paraId="2DBFE534" w14:textId="77777777" w:rsidR="00CA3B3F" w:rsidRPr="003D3C60" w:rsidRDefault="00000000" w:rsidP="00CF2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  <w:tab w:val="left" w:pos="1418"/>
                <w:tab w:val="left" w:pos="1843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2.2. Ensure the accessibility of training and professional development opportunities for employees of both genders.</w:t>
            </w:r>
          </w:p>
        </w:tc>
        <w:tc>
          <w:tcPr>
            <w:tcW w:w="3055" w:type="dxa"/>
          </w:tcPr>
          <w:p w14:paraId="35C8B6C9" w14:textId="77777777" w:rsidR="00CA3B3F" w:rsidRPr="003D3C60" w:rsidRDefault="00000000" w:rsidP="00CF2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2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2.2.1. The promotion of competency development opportunities, equally accessible to all employees, is continued.</w:t>
            </w:r>
          </w:p>
          <w:p w14:paraId="70190E04" w14:textId="77777777" w:rsidR="00CA3B3F" w:rsidRPr="003D3C60" w:rsidRDefault="00000000" w:rsidP="00CF2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2"/>
              </w:tabs>
              <w:jc w:val="both"/>
              <w:rPr>
                <w:rFonts w:ascii="Times New Roman" w:eastAsia="Times New Roman" w:hAnsi="Times New Roman" w:cs="Times New Roman"/>
                <w:color w:val="FF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2.2.2. Monitoring of employee participation in competence development events by gender is carried out.</w:t>
            </w:r>
          </w:p>
        </w:tc>
        <w:tc>
          <w:tcPr>
            <w:tcW w:w="2106" w:type="dxa"/>
          </w:tcPr>
          <w:p w14:paraId="0C3B96DC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Lifelong Learning Centre;</w:t>
            </w:r>
          </w:p>
          <w:p w14:paraId="65171C82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Head of Community Well-being</w:t>
            </w:r>
          </w:p>
        </w:tc>
        <w:tc>
          <w:tcPr>
            <w:tcW w:w="1474" w:type="dxa"/>
          </w:tcPr>
          <w:p w14:paraId="42AD95F9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On an ongoing basis</w:t>
            </w:r>
          </w:p>
        </w:tc>
        <w:tc>
          <w:tcPr>
            <w:tcW w:w="2770" w:type="dxa"/>
          </w:tcPr>
          <w:p w14:paraId="185F36C5" w14:textId="77777777" w:rsidR="00CA3B3F" w:rsidRPr="003D3C60" w:rsidRDefault="00000000" w:rsidP="00CF2BF3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 xml:space="preserve">Competence development activities are accessible to both genders. </w:t>
            </w:r>
          </w:p>
          <w:p w14:paraId="17C4D7B8" w14:textId="77777777" w:rsidR="00CA3B3F" w:rsidRPr="003D3C60" w:rsidRDefault="00CA3B3F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75947180" w14:textId="77777777" w:rsidR="00CA3B3F" w:rsidRPr="003D3C60" w:rsidRDefault="00000000" w:rsidP="00CF2BF3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Monitoring of employee participation in competence development events by gender.</w:t>
            </w:r>
          </w:p>
        </w:tc>
      </w:tr>
      <w:tr w:rsidR="00992564" w:rsidRPr="003D3C60" w14:paraId="4C9635BE" w14:textId="77777777">
        <w:tc>
          <w:tcPr>
            <w:tcW w:w="2417" w:type="dxa"/>
            <w:vMerge/>
            <w:tcBorders>
              <w:bottom w:val="single" w:sz="4" w:space="0" w:color="000000"/>
            </w:tcBorders>
          </w:tcPr>
          <w:p w14:paraId="74C5D8C9" w14:textId="77777777" w:rsidR="00CA3B3F" w:rsidRPr="003D3C60" w:rsidRDefault="00CA3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741" w:type="dxa"/>
          </w:tcPr>
          <w:p w14:paraId="651A9DBD" w14:textId="77777777" w:rsidR="00CA3B3F" w:rsidRPr="003D3C60" w:rsidRDefault="00000000" w:rsidP="00CF2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  <w:tab w:val="left" w:pos="1418"/>
                <w:tab w:val="left" w:pos="1843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2.3. Integrate the gender dimension into employee </w:t>
            </w: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lastRenderedPageBreak/>
              <w:t xml:space="preserve">career </w:t>
            </w:r>
            <w:r w:rsidRPr="003D3C60">
              <w:rPr>
                <w:rFonts w:ascii="Times New Roman" w:eastAsia="Times New Roman" w:hAnsi="Times New Roman" w:cs="Times New Roman"/>
                <w:lang w:val="en-GB"/>
              </w:rPr>
              <w:t>planning</w:t>
            </w: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and promotion processes. </w:t>
            </w:r>
          </w:p>
        </w:tc>
        <w:tc>
          <w:tcPr>
            <w:tcW w:w="3055" w:type="dxa"/>
          </w:tcPr>
          <w:p w14:paraId="49224C47" w14:textId="77777777" w:rsidR="00CA3B3F" w:rsidRPr="003D3C60" w:rsidRDefault="00000000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lastRenderedPageBreak/>
              <w:t xml:space="preserve">2.3.1. All career opportunities are publicly communicated in a </w:t>
            </w:r>
            <w:r w:rsidRPr="003D3C60">
              <w:rPr>
                <w:rFonts w:ascii="Times New Roman" w:eastAsia="Times New Roman" w:hAnsi="Times New Roman" w:cs="Times New Roman"/>
                <w:lang w:val="en-GB"/>
              </w:rPr>
              <w:lastRenderedPageBreak/>
              <w:t>transparent manner and are accessible to all employees.</w:t>
            </w:r>
          </w:p>
          <w:p w14:paraId="43D519DB" w14:textId="77777777" w:rsidR="00CA3B3F" w:rsidRPr="003D3C60" w:rsidRDefault="00000000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2.3.2. Additional measures are foreseen to mitigate the negative impact of career interruptions.</w:t>
            </w:r>
          </w:p>
        </w:tc>
        <w:tc>
          <w:tcPr>
            <w:tcW w:w="2106" w:type="dxa"/>
          </w:tcPr>
          <w:p w14:paraId="614DCD22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lastRenderedPageBreak/>
              <w:t xml:space="preserve">Human Resources Unit; Head of </w:t>
            </w:r>
            <w:r w:rsidRPr="003D3C60">
              <w:rPr>
                <w:rFonts w:ascii="Times New Roman" w:eastAsia="Times New Roman" w:hAnsi="Times New Roman" w:cs="Times New Roman"/>
                <w:lang w:val="en-GB"/>
              </w:rPr>
              <w:lastRenderedPageBreak/>
              <w:t>Community Well-being</w:t>
            </w:r>
          </w:p>
        </w:tc>
        <w:tc>
          <w:tcPr>
            <w:tcW w:w="1474" w:type="dxa"/>
          </w:tcPr>
          <w:p w14:paraId="00C384BF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lastRenderedPageBreak/>
              <w:t>On an ongoing basis</w:t>
            </w:r>
          </w:p>
        </w:tc>
        <w:tc>
          <w:tcPr>
            <w:tcW w:w="2770" w:type="dxa"/>
          </w:tcPr>
          <w:p w14:paraId="67C83C5F" w14:textId="77777777" w:rsidR="00CA3B3F" w:rsidRPr="003D3C60" w:rsidRDefault="00000000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 xml:space="preserve">Gender-based analysis of recruitment competitions. </w:t>
            </w:r>
          </w:p>
          <w:p w14:paraId="07C0F011" w14:textId="77777777" w:rsidR="00CA3B3F" w:rsidRPr="003D3C60" w:rsidRDefault="00000000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lastRenderedPageBreak/>
              <w:t>Since 2026, annual monitoring of researchers’ careers is introduced.</w:t>
            </w:r>
          </w:p>
          <w:p w14:paraId="0FC67C2B" w14:textId="77777777" w:rsidR="00CA3B3F" w:rsidRPr="003D3C60" w:rsidRDefault="00CA3B3F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992564" w:rsidRPr="003D3C60" w14:paraId="37AC8B41" w14:textId="77777777"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14:paraId="399895BD" w14:textId="77777777" w:rsidR="00CA3B3F" w:rsidRPr="003D3C60" w:rsidRDefault="00CA3B3F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741" w:type="dxa"/>
          </w:tcPr>
          <w:p w14:paraId="2DB533BA" w14:textId="77777777" w:rsidR="00CA3B3F" w:rsidRPr="003D3C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2.4. Ensure pay</w:t>
            </w:r>
            <w:r w:rsidRPr="003D3C6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transparency and fairness by </w:t>
            </w:r>
            <w:r w:rsidRPr="003D3C60">
              <w:rPr>
                <w:rFonts w:ascii="Times New Roman" w:eastAsia="Times New Roman" w:hAnsi="Times New Roman" w:cs="Times New Roman"/>
                <w:lang w:val="en-GB"/>
              </w:rPr>
              <w:t>providing</w:t>
            </w: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</w:t>
            </w:r>
            <w:r w:rsidRPr="003D3C60">
              <w:rPr>
                <w:rFonts w:ascii="Times New Roman" w:eastAsia="Times New Roman" w:hAnsi="Times New Roman" w:cs="Times New Roman"/>
                <w:lang w:val="en-GB"/>
              </w:rPr>
              <w:t>equal</w:t>
            </w: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</w:t>
            </w:r>
            <w:r w:rsidRPr="003D3C60">
              <w:rPr>
                <w:rFonts w:ascii="Times New Roman" w:eastAsia="Times New Roman" w:hAnsi="Times New Roman" w:cs="Times New Roman"/>
                <w:lang w:val="en-GB"/>
              </w:rPr>
              <w:t>opportunities</w:t>
            </w: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for employees of both genders to receive equal pay for the same or equivalent work.</w:t>
            </w:r>
          </w:p>
        </w:tc>
        <w:tc>
          <w:tcPr>
            <w:tcW w:w="3055" w:type="dxa"/>
          </w:tcPr>
          <w:p w14:paraId="1B8E25AA" w14:textId="77777777" w:rsidR="00CA3B3F" w:rsidRPr="003D3C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2.4.1. A pay analysis is conducted by position and department, taking into account the gender aspect.</w:t>
            </w:r>
          </w:p>
          <w:p w14:paraId="37479BFD" w14:textId="77777777" w:rsidR="00CA3B3F" w:rsidRPr="003D3C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2.4.2. Data on the gender pay gap between men and women is included in the annual gender equality report.</w:t>
            </w:r>
          </w:p>
          <w:p w14:paraId="5137F959" w14:textId="77777777" w:rsidR="00CA3B3F" w:rsidRPr="003D3C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2.4.3. If significant differences are identified, recommendations for improving the remuneration policy are prepared. </w:t>
            </w:r>
          </w:p>
        </w:tc>
        <w:tc>
          <w:tcPr>
            <w:tcW w:w="2106" w:type="dxa"/>
          </w:tcPr>
          <w:p w14:paraId="6B65AD43" w14:textId="4AA73E0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Department of Finance Management and Accounting;</w:t>
            </w:r>
            <w:r w:rsid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</w:t>
            </w:r>
            <w:r w:rsidRPr="003D3C60">
              <w:rPr>
                <w:rFonts w:ascii="Times New Roman" w:eastAsia="Times New Roman" w:hAnsi="Times New Roman" w:cs="Times New Roman"/>
                <w:lang w:val="en-GB"/>
              </w:rPr>
              <w:t>Human Resources Unit;</w:t>
            </w:r>
          </w:p>
          <w:p w14:paraId="36B4CCB1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Head of Community Well-being</w:t>
            </w:r>
          </w:p>
        </w:tc>
        <w:tc>
          <w:tcPr>
            <w:tcW w:w="1474" w:type="dxa"/>
          </w:tcPr>
          <w:p w14:paraId="511D64C3" w14:textId="7DD760BD" w:rsidR="00CA3B3F" w:rsidRPr="003D3C60" w:rsidRDefault="003D3C6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Annually</w:t>
            </w:r>
          </w:p>
        </w:tc>
        <w:tc>
          <w:tcPr>
            <w:tcW w:w="2770" w:type="dxa"/>
          </w:tcPr>
          <w:p w14:paraId="6FAF6B19" w14:textId="77777777" w:rsidR="00CA3B3F" w:rsidRPr="003D3C60" w:rsidRDefault="00000000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The wage gap between men and women in equivalent positions is less than 5%.</w:t>
            </w:r>
          </w:p>
        </w:tc>
      </w:tr>
      <w:tr w:rsidR="00992564" w:rsidRPr="003D3C60" w14:paraId="18D588D6" w14:textId="77777777">
        <w:tc>
          <w:tcPr>
            <w:tcW w:w="14563" w:type="dxa"/>
            <w:gridSpan w:val="6"/>
          </w:tcPr>
          <w:p w14:paraId="7167091D" w14:textId="77777777" w:rsidR="00CA3B3F" w:rsidRPr="003D3C60" w:rsidRDefault="00000000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b/>
                <w:lang w:val="en-GB"/>
              </w:rPr>
              <w:t>III. Work–life balance and organisational culture</w:t>
            </w:r>
          </w:p>
        </w:tc>
      </w:tr>
      <w:tr w:rsidR="00992564" w:rsidRPr="003D3C60" w14:paraId="56108E5D" w14:textId="77777777">
        <w:trPr>
          <w:trHeight w:val="3126"/>
        </w:trPr>
        <w:tc>
          <w:tcPr>
            <w:tcW w:w="2417" w:type="dxa"/>
            <w:vMerge w:val="restart"/>
          </w:tcPr>
          <w:p w14:paraId="52EF316A" w14:textId="77777777" w:rsidR="00CA3B3F" w:rsidRPr="003D3C60" w:rsidRDefault="00000000" w:rsidP="00CF2BF3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3. Create conditions for employees and students to balance professional (academic) and personal life while strengthening an inclusive organisational culture.</w:t>
            </w:r>
          </w:p>
        </w:tc>
        <w:tc>
          <w:tcPr>
            <w:tcW w:w="2741" w:type="dxa"/>
            <w:vMerge w:val="restart"/>
          </w:tcPr>
          <w:p w14:paraId="3D4787C6" w14:textId="77777777" w:rsidR="00CA3B3F" w:rsidRPr="003D3C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3.1. Ensure clear and accessible information about opportunities to balance work (studies) and personal life.</w:t>
            </w:r>
          </w:p>
          <w:p w14:paraId="7C308FB7" w14:textId="77777777" w:rsidR="00CA3B3F" w:rsidRPr="003D3C60" w:rsidRDefault="00CA3B3F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055" w:type="dxa"/>
          </w:tcPr>
          <w:p w14:paraId="6E06690C" w14:textId="77777777" w:rsidR="00CA3B3F" w:rsidRPr="003D3C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3.1.1. Information is published about the work–life balance measures available to employees at </w:t>
            </w:r>
            <w:proofErr w:type="spellStart"/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Kolegija</w:t>
            </w:r>
            <w:proofErr w:type="spellEnd"/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:</w:t>
            </w:r>
          </w:p>
          <w:p w14:paraId="06F8DE16" w14:textId="77777777" w:rsidR="00CA3B3F" w:rsidRPr="003D3C6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on the intranet;</w:t>
            </w:r>
          </w:p>
          <w:p w14:paraId="146C94B0" w14:textId="77777777" w:rsidR="00CA3B3F" w:rsidRPr="003D3C6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during events for new employees (information sessions, induction training);</w:t>
            </w:r>
          </w:p>
          <w:p w14:paraId="2490DB3D" w14:textId="77777777" w:rsidR="00CA3B3F" w:rsidRPr="003D3C6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6"/>
              </w:tabs>
              <w:ind w:left="0" w:firstLine="0"/>
              <w:jc w:val="both"/>
              <w:rPr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in the information booklet for new employees.</w:t>
            </w:r>
          </w:p>
        </w:tc>
        <w:tc>
          <w:tcPr>
            <w:tcW w:w="2106" w:type="dxa"/>
          </w:tcPr>
          <w:p w14:paraId="64376895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 xml:space="preserve">Human Resources Unit; Head of Community Well-being </w:t>
            </w:r>
          </w:p>
          <w:p w14:paraId="3CB40986" w14:textId="77777777" w:rsidR="00CA3B3F" w:rsidRPr="003D3C60" w:rsidRDefault="00CA3B3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474" w:type="dxa"/>
            <w:vMerge w:val="restart"/>
          </w:tcPr>
          <w:p w14:paraId="61DE3B03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On an ongoing basis</w:t>
            </w:r>
          </w:p>
        </w:tc>
        <w:tc>
          <w:tcPr>
            <w:tcW w:w="2770" w:type="dxa"/>
            <w:vMerge w:val="restart"/>
          </w:tcPr>
          <w:p w14:paraId="258ABA0F" w14:textId="77777777" w:rsidR="00CA3B3F" w:rsidRPr="003D3C60" w:rsidRDefault="00000000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All employees and students are aware of the available work (study) and personal life reconciliation measures.</w:t>
            </w:r>
          </w:p>
        </w:tc>
      </w:tr>
      <w:tr w:rsidR="00992564" w:rsidRPr="003D3C60" w14:paraId="5F875428" w14:textId="77777777">
        <w:trPr>
          <w:trHeight w:val="1331"/>
        </w:trPr>
        <w:tc>
          <w:tcPr>
            <w:tcW w:w="2417" w:type="dxa"/>
            <w:vMerge/>
          </w:tcPr>
          <w:p w14:paraId="54327979" w14:textId="77777777" w:rsidR="00CA3B3F" w:rsidRPr="003D3C60" w:rsidRDefault="00CA3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741" w:type="dxa"/>
            <w:vMerge/>
          </w:tcPr>
          <w:p w14:paraId="2F6B022E" w14:textId="77777777" w:rsidR="00CA3B3F" w:rsidRPr="003D3C60" w:rsidRDefault="00CA3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055" w:type="dxa"/>
          </w:tcPr>
          <w:p w14:paraId="373F75C7" w14:textId="77777777" w:rsidR="00CA3B3F" w:rsidRPr="003D3C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3.1.2. Information on study and personal life reconciliation measures is published on: the Intranet, the website of </w:t>
            </w:r>
            <w:proofErr w:type="spellStart"/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Kolegija</w:t>
            </w:r>
            <w:proofErr w:type="spellEnd"/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</w:t>
            </w: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lastRenderedPageBreak/>
              <w:t>and in the Study Programme Guide.</w:t>
            </w:r>
          </w:p>
        </w:tc>
        <w:tc>
          <w:tcPr>
            <w:tcW w:w="2106" w:type="dxa"/>
          </w:tcPr>
          <w:p w14:paraId="18962FAF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lastRenderedPageBreak/>
              <w:t>Student Affairs and Career Unit</w:t>
            </w:r>
          </w:p>
        </w:tc>
        <w:tc>
          <w:tcPr>
            <w:tcW w:w="1474" w:type="dxa"/>
            <w:vMerge/>
          </w:tcPr>
          <w:p w14:paraId="54AFFEA0" w14:textId="77777777" w:rsidR="00CA3B3F" w:rsidRPr="003D3C60" w:rsidRDefault="00CA3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770" w:type="dxa"/>
            <w:vMerge/>
          </w:tcPr>
          <w:p w14:paraId="7EC826D9" w14:textId="77777777" w:rsidR="00CA3B3F" w:rsidRPr="003D3C60" w:rsidRDefault="00CA3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992564" w:rsidRPr="003D3C60" w14:paraId="28E765E6" w14:textId="77777777">
        <w:tc>
          <w:tcPr>
            <w:tcW w:w="2417" w:type="dxa"/>
            <w:vMerge/>
          </w:tcPr>
          <w:p w14:paraId="65B47026" w14:textId="77777777" w:rsidR="00CA3B3F" w:rsidRPr="003D3C60" w:rsidRDefault="00CA3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741" w:type="dxa"/>
            <w:tcBorders>
              <w:bottom w:val="single" w:sz="4" w:space="0" w:color="000000"/>
            </w:tcBorders>
          </w:tcPr>
          <w:p w14:paraId="563F580A" w14:textId="77777777" w:rsidR="00CA3B3F" w:rsidRPr="003D3C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3.2. Organise training sessions on emotional well-being and work–life balance for the entire community.</w:t>
            </w:r>
          </w:p>
        </w:tc>
        <w:tc>
          <w:tcPr>
            <w:tcW w:w="3055" w:type="dxa"/>
            <w:tcBorders>
              <w:bottom w:val="single" w:sz="4" w:space="0" w:color="000000"/>
            </w:tcBorders>
          </w:tcPr>
          <w:p w14:paraId="57216999" w14:textId="77777777" w:rsidR="00CA3B3F" w:rsidRPr="003D3C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  <w:tab w:val="left" w:pos="540"/>
                <w:tab w:val="left" w:pos="768"/>
              </w:tabs>
              <w:ind w:left="34" w:hanging="360"/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3.2.1. Regular seminars are organised on psychological well-being and stress</w:t>
            </w:r>
            <w:r w:rsidRPr="003D3C60">
              <w:rPr>
                <w:rFonts w:ascii="Times New Roman" w:eastAsia="Times New Roman" w:hAnsi="Times New Roman" w:cs="Times New Roman"/>
                <w:lang w:val="en-GB"/>
              </w:rPr>
              <w:t xml:space="preserve"> management, the impact of bias and stereotypes on decision-making, and the importance of emotional support, empathy, and active listening by managers. </w:t>
            </w:r>
          </w:p>
          <w:p w14:paraId="37DCF6FD" w14:textId="77777777" w:rsidR="00CA3B3F" w:rsidRPr="003D3C60" w:rsidRDefault="00000000">
            <w:pPr>
              <w:tabs>
                <w:tab w:val="left" w:pos="312"/>
              </w:tabs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3.2.2. These topics are integrated into the internal competence development system.</w:t>
            </w:r>
          </w:p>
        </w:tc>
        <w:tc>
          <w:tcPr>
            <w:tcW w:w="2106" w:type="dxa"/>
            <w:tcBorders>
              <w:bottom w:val="single" w:sz="4" w:space="0" w:color="000000"/>
            </w:tcBorders>
          </w:tcPr>
          <w:p w14:paraId="32FC0AAC" w14:textId="5687471A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 xml:space="preserve">Lifelong Learning </w:t>
            </w:r>
            <w:r w:rsidR="003D3C60">
              <w:rPr>
                <w:rFonts w:ascii="Times New Roman" w:eastAsia="Times New Roman" w:hAnsi="Times New Roman" w:cs="Times New Roman"/>
                <w:lang w:val="en-GB"/>
              </w:rPr>
              <w:t>Centre</w:t>
            </w:r>
          </w:p>
        </w:tc>
        <w:tc>
          <w:tcPr>
            <w:tcW w:w="1474" w:type="dxa"/>
            <w:tcBorders>
              <w:bottom w:val="single" w:sz="4" w:space="0" w:color="000000"/>
            </w:tcBorders>
          </w:tcPr>
          <w:p w14:paraId="0A323C42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At least once a year</w:t>
            </w:r>
          </w:p>
        </w:tc>
        <w:tc>
          <w:tcPr>
            <w:tcW w:w="2770" w:type="dxa"/>
            <w:tcBorders>
              <w:bottom w:val="single" w:sz="4" w:space="0" w:color="000000"/>
            </w:tcBorders>
          </w:tcPr>
          <w:p w14:paraId="443E664D" w14:textId="36091A1B" w:rsidR="00CA3B3F" w:rsidRPr="003D3C60" w:rsidRDefault="003D3C60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 xml:space="preserve">Training sessions </w:t>
            </w:r>
            <w:r w:rsidR="00000000" w:rsidRPr="003D3C60">
              <w:rPr>
                <w:rFonts w:ascii="Times New Roman" w:eastAsia="Times New Roman" w:hAnsi="Times New Roman" w:cs="Times New Roman"/>
                <w:lang w:val="en-GB"/>
              </w:rPr>
              <w:t>conducted for staff on work–life balance topics.</w:t>
            </w:r>
          </w:p>
        </w:tc>
      </w:tr>
      <w:tr w:rsidR="00992564" w:rsidRPr="003D3C60" w14:paraId="3A4F4CB2" w14:textId="77777777" w:rsidTr="00C37BFE">
        <w:tc>
          <w:tcPr>
            <w:tcW w:w="2417" w:type="dxa"/>
            <w:vMerge/>
            <w:tcBorders>
              <w:bottom w:val="nil"/>
            </w:tcBorders>
          </w:tcPr>
          <w:p w14:paraId="503CFECC" w14:textId="77777777" w:rsidR="00CA3B3F" w:rsidRPr="003D3C60" w:rsidRDefault="00CA3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741" w:type="dxa"/>
            <w:tcBorders>
              <w:bottom w:val="single" w:sz="4" w:space="0" w:color="000000"/>
            </w:tcBorders>
          </w:tcPr>
          <w:p w14:paraId="4F07B492" w14:textId="77777777" w:rsidR="00CA3B3F" w:rsidRPr="003D3C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bookmarkStart w:id="1" w:name="_heading=h.qw8dewd7ny1m" w:colFirst="0" w:colLast="0"/>
            <w:bookmarkEnd w:id="1"/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3.3. Ensure the availability of psychological and emotional support for all employees.</w:t>
            </w:r>
          </w:p>
        </w:tc>
        <w:tc>
          <w:tcPr>
            <w:tcW w:w="3055" w:type="dxa"/>
            <w:tcBorders>
              <w:bottom w:val="single" w:sz="4" w:space="0" w:color="000000"/>
            </w:tcBorders>
          </w:tcPr>
          <w:p w14:paraId="75A7246B" w14:textId="77777777" w:rsidR="00CA3B3F" w:rsidRPr="003D3C60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3.3.1. Psychological support options for employees and students are publicised.</w:t>
            </w:r>
          </w:p>
        </w:tc>
        <w:tc>
          <w:tcPr>
            <w:tcW w:w="2106" w:type="dxa"/>
            <w:tcBorders>
              <w:bottom w:val="single" w:sz="4" w:space="0" w:color="000000"/>
            </w:tcBorders>
          </w:tcPr>
          <w:p w14:paraId="282D25D7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Head of Community Well-being</w:t>
            </w:r>
          </w:p>
        </w:tc>
        <w:tc>
          <w:tcPr>
            <w:tcW w:w="1474" w:type="dxa"/>
            <w:tcBorders>
              <w:bottom w:val="single" w:sz="4" w:space="0" w:color="000000"/>
            </w:tcBorders>
          </w:tcPr>
          <w:p w14:paraId="67118471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On an ongoing basis</w:t>
            </w:r>
          </w:p>
        </w:tc>
        <w:tc>
          <w:tcPr>
            <w:tcW w:w="2770" w:type="dxa"/>
            <w:tcBorders>
              <w:bottom w:val="single" w:sz="4" w:space="0" w:color="000000"/>
            </w:tcBorders>
          </w:tcPr>
          <w:p w14:paraId="2612CD00" w14:textId="77777777" w:rsidR="00CA3B3F" w:rsidRPr="003D3C60" w:rsidRDefault="00000000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Number of individuals who used psychological support</w:t>
            </w:r>
          </w:p>
        </w:tc>
      </w:tr>
      <w:tr w:rsidR="00992564" w:rsidRPr="003D3C60" w14:paraId="531EF0BF" w14:textId="77777777">
        <w:trPr>
          <w:trHeight w:val="1314"/>
        </w:trPr>
        <w:tc>
          <w:tcPr>
            <w:tcW w:w="2417" w:type="dxa"/>
            <w:tcBorders>
              <w:top w:val="nil"/>
            </w:tcBorders>
          </w:tcPr>
          <w:p w14:paraId="0F3E1E63" w14:textId="77777777" w:rsidR="00CA3B3F" w:rsidRPr="003D3C60" w:rsidRDefault="00CA3B3F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741" w:type="dxa"/>
            <w:tcBorders>
              <w:top w:val="nil"/>
            </w:tcBorders>
          </w:tcPr>
          <w:p w14:paraId="5D2067A6" w14:textId="77777777" w:rsidR="00CA3B3F" w:rsidRPr="003D3C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bookmarkStart w:id="2" w:name="_heading=h.usngpg7kfoh5" w:colFirst="0" w:colLast="0"/>
            <w:bookmarkEnd w:id="2"/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3.4. Conduct regular employee surveys on the assessment of organisational culture and well-being from a gender perspective.</w:t>
            </w:r>
          </w:p>
        </w:tc>
        <w:tc>
          <w:tcPr>
            <w:tcW w:w="3055" w:type="dxa"/>
            <w:tcBorders>
              <w:top w:val="nil"/>
            </w:tcBorders>
          </w:tcPr>
          <w:p w14:paraId="3F35212C" w14:textId="77777777" w:rsidR="00CA3B3F" w:rsidRPr="003D3C60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3.4.1. Anonymous employee survey on gender equality.</w:t>
            </w:r>
          </w:p>
          <w:p w14:paraId="744674F7" w14:textId="77777777" w:rsidR="00CA3B3F" w:rsidRPr="003D3C60" w:rsidRDefault="00000000" w:rsidP="00C37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3.4.2. Survey results are analysed by gender, and conclusions are presented to the management.</w:t>
            </w:r>
          </w:p>
        </w:tc>
        <w:tc>
          <w:tcPr>
            <w:tcW w:w="2106" w:type="dxa"/>
            <w:tcBorders>
              <w:top w:val="nil"/>
            </w:tcBorders>
          </w:tcPr>
          <w:p w14:paraId="4E021BB8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Head of Community Well-being;</w:t>
            </w:r>
          </w:p>
          <w:p w14:paraId="41EE4294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Strategic Planning and Quality Management Unit</w:t>
            </w:r>
          </w:p>
        </w:tc>
        <w:tc>
          <w:tcPr>
            <w:tcW w:w="1474" w:type="dxa"/>
            <w:tcBorders>
              <w:top w:val="nil"/>
            </w:tcBorders>
          </w:tcPr>
          <w:p w14:paraId="6C7CEE58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Every two years starting from 2026</w:t>
            </w:r>
          </w:p>
        </w:tc>
        <w:tc>
          <w:tcPr>
            <w:tcW w:w="2770" w:type="dxa"/>
            <w:tcBorders>
              <w:top w:val="nil"/>
            </w:tcBorders>
          </w:tcPr>
          <w:p w14:paraId="0FD0AA38" w14:textId="77777777" w:rsidR="00CA3B3F" w:rsidRPr="003D3C60" w:rsidRDefault="00000000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1 survey every two years</w:t>
            </w:r>
          </w:p>
        </w:tc>
      </w:tr>
      <w:tr w:rsidR="00992564" w:rsidRPr="003D3C60" w14:paraId="4DB62F4D" w14:textId="77777777">
        <w:tc>
          <w:tcPr>
            <w:tcW w:w="14563" w:type="dxa"/>
            <w:gridSpan w:val="6"/>
          </w:tcPr>
          <w:p w14:paraId="6506B763" w14:textId="77777777" w:rsidR="00CA3B3F" w:rsidRPr="003D3C60" w:rsidRDefault="00000000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IV. Integration of the gender aspect into research and study content</w:t>
            </w:r>
          </w:p>
        </w:tc>
      </w:tr>
      <w:tr w:rsidR="00992564" w:rsidRPr="003D3C60" w14:paraId="197FD697" w14:textId="77777777">
        <w:tc>
          <w:tcPr>
            <w:tcW w:w="2417" w:type="dxa"/>
            <w:tcBorders>
              <w:bottom w:val="nil"/>
            </w:tcBorders>
          </w:tcPr>
          <w:p w14:paraId="61416ABF" w14:textId="77777777" w:rsidR="00CA3B3F" w:rsidRPr="003D3C60" w:rsidRDefault="00000000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 xml:space="preserve">4. Integrate the gender dimension into research activities and study programmes, and enhance the competences of the </w:t>
            </w:r>
            <w:r w:rsidRPr="003D3C60">
              <w:rPr>
                <w:rFonts w:ascii="Times New Roman" w:eastAsia="Times New Roman" w:hAnsi="Times New Roman" w:cs="Times New Roman"/>
                <w:lang w:val="en-GB"/>
              </w:rPr>
              <w:lastRenderedPageBreak/>
              <w:t>academic community in this field.</w:t>
            </w:r>
          </w:p>
        </w:tc>
        <w:tc>
          <w:tcPr>
            <w:tcW w:w="2741" w:type="dxa"/>
          </w:tcPr>
          <w:p w14:paraId="25A9100F" w14:textId="70AB5C87" w:rsidR="00CA3B3F" w:rsidRPr="003D3C60" w:rsidRDefault="00000000" w:rsidP="00C37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ind w:firstLine="20"/>
              <w:jc w:val="both"/>
              <w:rPr>
                <w:color w:val="000000"/>
                <w:lang w:val="en-GB"/>
              </w:rPr>
            </w:pPr>
            <w:bookmarkStart w:id="3" w:name="_heading=h.o4y3gf8hc4ub" w:colFirst="0" w:colLast="0"/>
            <w:bookmarkEnd w:id="3"/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lastRenderedPageBreak/>
              <w:t xml:space="preserve">4.1. Increase </w:t>
            </w:r>
            <w:r w:rsid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faculty members’</w:t>
            </w: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awareness of the application of the gender dimension in academic activities.</w:t>
            </w:r>
          </w:p>
        </w:tc>
        <w:tc>
          <w:tcPr>
            <w:tcW w:w="3055" w:type="dxa"/>
          </w:tcPr>
          <w:p w14:paraId="61D9CDCA" w14:textId="00D81F6E" w:rsidR="00CA3B3F" w:rsidRPr="003D3C60" w:rsidRDefault="00000000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 xml:space="preserve">4.1.1. National guidelines on the integration of gender equality principles into teaching work are presented to </w:t>
            </w:r>
            <w:r w:rsidR="003D3C60">
              <w:rPr>
                <w:rFonts w:ascii="Times New Roman" w:eastAsia="Times New Roman" w:hAnsi="Times New Roman" w:cs="Times New Roman"/>
                <w:lang w:val="en-GB"/>
              </w:rPr>
              <w:t>faculty members</w:t>
            </w:r>
            <w:r w:rsidRPr="003D3C60">
              <w:rPr>
                <w:rFonts w:ascii="Times New Roman" w:eastAsia="Times New Roman" w:hAnsi="Times New Roman" w:cs="Times New Roman"/>
                <w:lang w:val="en-GB"/>
              </w:rPr>
              <w:t>.</w:t>
            </w:r>
          </w:p>
          <w:p w14:paraId="7BB89D04" w14:textId="77777777" w:rsidR="00CA3B3F" w:rsidRPr="003D3C60" w:rsidRDefault="00000000">
            <w:pPr>
              <w:tabs>
                <w:tab w:val="left" w:pos="463"/>
                <w:tab w:val="left" w:pos="741"/>
              </w:tabs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lastRenderedPageBreak/>
              <w:t>4.1.2. Information events on the integration of gender equality principles into teaching work are organised.</w:t>
            </w:r>
          </w:p>
          <w:p w14:paraId="746C8C19" w14:textId="77777777" w:rsidR="00CA3B3F" w:rsidRPr="003D3C60" w:rsidRDefault="00000000">
            <w:pPr>
              <w:tabs>
                <w:tab w:val="left" w:pos="463"/>
                <w:tab w:val="left" w:pos="741"/>
              </w:tabs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4.1.3. Good practice on the application of gender equality principles in study subjects is disseminated.</w:t>
            </w:r>
          </w:p>
        </w:tc>
        <w:tc>
          <w:tcPr>
            <w:tcW w:w="2106" w:type="dxa"/>
          </w:tcPr>
          <w:p w14:paraId="03479FC9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lastRenderedPageBreak/>
              <w:t>Vice Deans for Studies;</w:t>
            </w:r>
          </w:p>
          <w:p w14:paraId="6DC98981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Head of Community Well-being;</w:t>
            </w:r>
          </w:p>
          <w:p w14:paraId="67AD0F80" w14:textId="7B5F66D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 xml:space="preserve">Lifelong Learning </w:t>
            </w:r>
            <w:r w:rsidR="003D3C60">
              <w:rPr>
                <w:rFonts w:ascii="Times New Roman" w:eastAsia="Times New Roman" w:hAnsi="Times New Roman" w:cs="Times New Roman"/>
                <w:lang w:val="en-GB"/>
              </w:rPr>
              <w:t>Centre</w:t>
            </w:r>
          </w:p>
          <w:p w14:paraId="75389928" w14:textId="77777777" w:rsidR="00CA3B3F" w:rsidRPr="003D3C60" w:rsidRDefault="00CA3B3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474" w:type="dxa"/>
          </w:tcPr>
          <w:p w14:paraId="175896CF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lastRenderedPageBreak/>
              <w:t>Since 2026</w:t>
            </w:r>
          </w:p>
        </w:tc>
        <w:tc>
          <w:tcPr>
            <w:tcW w:w="2770" w:type="dxa"/>
          </w:tcPr>
          <w:p w14:paraId="3C9E3FAB" w14:textId="77777777" w:rsidR="00CA3B3F" w:rsidRPr="003D3C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At least 1 event per year for the academic community on the application of national guidelines.</w:t>
            </w:r>
          </w:p>
          <w:p w14:paraId="1DFD4D01" w14:textId="77777777" w:rsidR="00CA3B3F" w:rsidRPr="003D3C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lastRenderedPageBreak/>
              <w:t>A database of good practice examples formed on the intranet (at least 5 examples).</w:t>
            </w:r>
          </w:p>
        </w:tc>
      </w:tr>
      <w:tr w:rsidR="00992564" w:rsidRPr="003D3C60" w14:paraId="0C6F101D" w14:textId="77777777">
        <w:tc>
          <w:tcPr>
            <w:tcW w:w="2417" w:type="dxa"/>
            <w:tcBorders>
              <w:top w:val="nil"/>
              <w:bottom w:val="single" w:sz="4" w:space="0" w:color="000000"/>
            </w:tcBorders>
          </w:tcPr>
          <w:p w14:paraId="58580D4F" w14:textId="77777777" w:rsidR="00CA3B3F" w:rsidRPr="003D3C60" w:rsidRDefault="00CA3B3F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741" w:type="dxa"/>
          </w:tcPr>
          <w:p w14:paraId="45038137" w14:textId="77777777" w:rsidR="00CA3B3F" w:rsidRPr="003D3C60" w:rsidRDefault="00000000" w:rsidP="00C37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4.2. </w:t>
            </w:r>
            <w:bookmarkStart w:id="4" w:name="_Hlk208517704"/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Integrate the gender dimension into applied research and artistic activities.</w:t>
            </w:r>
            <w:bookmarkEnd w:id="4"/>
          </w:p>
        </w:tc>
        <w:tc>
          <w:tcPr>
            <w:tcW w:w="3055" w:type="dxa"/>
          </w:tcPr>
          <w:p w14:paraId="3280FBF0" w14:textId="77777777" w:rsidR="00CA3B3F" w:rsidRPr="003D3C60" w:rsidRDefault="00000000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4.2.1. Researchers of different genders are included in research groups, as well as in project proposal preparation and implementation teams.</w:t>
            </w:r>
          </w:p>
          <w:p w14:paraId="194E01AD" w14:textId="77777777" w:rsidR="00CA3B3F" w:rsidRPr="003D3C60" w:rsidRDefault="00CA3B3F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106" w:type="dxa"/>
          </w:tcPr>
          <w:p w14:paraId="60A31B5E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Vice Dean for Science (and Arts);</w:t>
            </w:r>
          </w:p>
          <w:p w14:paraId="6C5DD6F6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Applied Research Department;</w:t>
            </w:r>
          </w:p>
          <w:p w14:paraId="670C9832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Project Management Unit</w:t>
            </w:r>
          </w:p>
        </w:tc>
        <w:tc>
          <w:tcPr>
            <w:tcW w:w="1474" w:type="dxa"/>
          </w:tcPr>
          <w:p w14:paraId="6937A7AE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On an ongoing basis</w:t>
            </w:r>
          </w:p>
        </w:tc>
        <w:tc>
          <w:tcPr>
            <w:tcW w:w="2770" w:type="dxa"/>
          </w:tcPr>
          <w:p w14:paraId="17289F2C" w14:textId="77777777" w:rsidR="00CA3B3F" w:rsidRPr="003D3C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Annual</w:t>
            </w: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analysis of research groups and research (arts) project applications by gender.</w:t>
            </w:r>
          </w:p>
        </w:tc>
      </w:tr>
      <w:tr w:rsidR="00992564" w:rsidRPr="003D3C60" w14:paraId="32B03193" w14:textId="77777777">
        <w:tc>
          <w:tcPr>
            <w:tcW w:w="2417" w:type="dxa"/>
            <w:tcBorders>
              <w:top w:val="single" w:sz="4" w:space="0" w:color="000000"/>
              <w:bottom w:val="nil"/>
            </w:tcBorders>
          </w:tcPr>
          <w:p w14:paraId="1BC9D3B2" w14:textId="77777777" w:rsidR="00CA3B3F" w:rsidRPr="003D3C60" w:rsidRDefault="00CA3B3F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28CB1F1E" w14:textId="77777777" w:rsidR="00223824" w:rsidRPr="003D3C60" w:rsidRDefault="00223824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741" w:type="dxa"/>
          </w:tcPr>
          <w:p w14:paraId="1375985E" w14:textId="77777777" w:rsidR="00CA3B3F" w:rsidRPr="003D3C60" w:rsidRDefault="00CA3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  <w:p w14:paraId="21631927" w14:textId="77777777" w:rsidR="00223824" w:rsidRPr="003D3C60" w:rsidRDefault="00223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3055" w:type="dxa"/>
          </w:tcPr>
          <w:p w14:paraId="71C8C030" w14:textId="77777777" w:rsidR="00C37BFE" w:rsidRPr="003D3C60" w:rsidRDefault="00000000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4.2.2. National or EU guidelines on gender aspects in research are applied (e.g., Horizon Europe recommendations).</w:t>
            </w:r>
          </w:p>
          <w:p w14:paraId="3D81D52B" w14:textId="77777777" w:rsidR="00CA3B3F" w:rsidRPr="003D3C60" w:rsidRDefault="00000000">
            <w:pPr>
              <w:jc w:val="both"/>
              <w:rPr>
                <w:rFonts w:ascii="Times New Roman" w:eastAsia="Times New Roman" w:hAnsi="Times New Roman" w:cs="Times New Roman"/>
                <w:color w:val="FF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4.2.3. Information sessions are organised or methodological materials are disseminated to researchers on the impact of integrating the gender dimension on research quality and competitiveness.</w:t>
            </w:r>
          </w:p>
        </w:tc>
        <w:tc>
          <w:tcPr>
            <w:tcW w:w="2106" w:type="dxa"/>
          </w:tcPr>
          <w:p w14:paraId="38DBA378" w14:textId="77777777" w:rsidR="00CA3B3F" w:rsidRPr="003D3C60" w:rsidRDefault="00CA3B3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474" w:type="dxa"/>
          </w:tcPr>
          <w:p w14:paraId="5D1B0C0F" w14:textId="77777777" w:rsidR="00CA3B3F" w:rsidRPr="003D3C60" w:rsidRDefault="00CA3B3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770" w:type="dxa"/>
          </w:tcPr>
          <w:p w14:paraId="71AA70A4" w14:textId="77777777" w:rsidR="00CA3B3F" w:rsidRPr="003D3C60" w:rsidRDefault="00CA3B3F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992564" w:rsidRPr="003D3C60" w14:paraId="03611965" w14:textId="77777777">
        <w:tc>
          <w:tcPr>
            <w:tcW w:w="2417" w:type="dxa"/>
            <w:tcBorders>
              <w:top w:val="nil"/>
              <w:bottom w:val="nil"/>
            </w:tcBorders>
          </w:tcPr>
          <w:p w14:paraId="2C6AA0C1" w14:textId="77777777" w:rsidR="00CA3B3F" w:rsidRPr="003D3C60" w:rsidRDefault="00CA3B3F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741" w:type="dxa"/>
          </w:tcPr>
          <w:p w14:paraId="11A5E97A" w14:textId="77777777" w:rsidR="00CA3B3F" w:rsidRPr="003D3C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bookmarkStart w:id="5" w:name="_heading=h.mc6qsnq5fl3" w:colFirst="0" w:colLast="0"/>
            <w:bookmarkEnd w:id="5"/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4.3. Foster an organisational culture that upholds the principles of gender equality.</w:t>
            </w:r>
          </w:p>
        </w:tc>
        <w:tc>
          <w:tcPr>
            <w:tcW w:w="3055" w:type="dxa"/>
          </w:tcPr>
          <w:p w14:paraId="24FAAD3C" w14:textId="77777777" w:rsidR="00CA3B3F" w:rsidRPr="003D3C60" w:rsidRDefault="00000000">
            <w:pPr>
              <w:tabs>
                <w:tab w:val="left" w:pos="463"/>
                <w:tab w:val="left" w:pos="764"/>
              </w:tabs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4.3.1. Gender equality issues are integrated into general capacity-building events.</w:t>
            </w:r>
          </w:p>
          <w:p w14:paraId="3FD4AE50" w14:textId="77777777" w:rsidR="00CA3B3F" w:rsidRPr="003D3C60" w:rsidRDefault="00000000">
            <w:pPr>
              <w:tabs>
                <w:tab w:val="left" w:pos="463"/>
                <w:tab w:val="left" w:pos="764"/>
              </w:tabs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4.3.2. Creation and maintenance of an internal information space (intranet) with guidelines, recommendations, and video materials.</w:t>
            </w:r>
          </w:p>
          <w:p w14:paraId="5D3012E5" w14:textId="77777777" w:rsidR="00CA3B3F" w:rsidRPr="003D3C60" w:rsidRDefault="00000000">
            <w:pPr>
              <w:tabs>
                <w:tab w:val="left" w:pos="463"/>
                <w:tab w:val="left" w:pos="764"/>
              </w:tabs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 xml:space="preserve">4.3.3. Involvement of students in discussions or project-based </w:t>
            </w:r>
            <w:r w:rsidRPr="003D3C60">
              <w:rPr>
                <w:rFonts w:ascii="Times New Roman" w:eastAsia="Times New Roman" w:hAnsi="Times New Roman" w:cs="Times New Roman"/>
                <w:lang w:val="en-GB"/>
              </w:rPr>
              <w:lastRenderedPageBreak/>
              <w:t xml:space="preserve">activities on the gender aspect in the study environment. </w:t>
            </w:r>
          </w:p>
        </w:tc>
        <w:tc>
          <w:tcPr>
            <w:tcW w:w="2106" w:type="dxa"/>
          </w:tcPr>
          <w:p w14:paraId="1851C13F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lastRenderedPageBreak/>
              <w:t>Lifelong Learning Centre;</w:t>
            </w:r>
          </w:p>
          <w:p w14:paraId="136F5080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Head of Community Well-being;</w:t>
            </w:r>
          </w:p>
          <w:p w14:paraId="30700456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Applied Research Department;</w:t>
            </w:r>
          </w:p>
          <w:p w14:paraId="546315CE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Marketing and Communications Unit;</w:t>
            </w:r>
          </w:p>
          <w:p w14:paraId="7848735F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lastRenderedPageBreak/>
              <w:t>Vice Deans for Studies</w:t>
            </w:r>
          </w:p>
        </w:tc>
        <w:tc>
          <w:tcPr>
            <w:tcW w:w="1474" w:type="dxa"/>
          </w:tcPr>
          <w:p w14:paraId="0E7F072A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lastRenderedPageBreak/>
              <w:t>2026</w:t>
            </w:r>
          </w:p>
        </w:tc>
        <w:tc>
          <w:tcPr>
            <w:tcW w:w="2770" w:type="dxa"/>
          </w:tcPr>
          <w:p w14:paraId="3A428F47" w14:textId="77777777" w:rsidR="00CA3B3F" w:rsidRPr="003D3C60" w:rsidRDefault="00000000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An internal information space on gender aspects in research and studies has been created in the intranet.</w:t>
            </w:r>
          </w:p>
          <w:p w14:paraId="267F7967" w14:textId="013A0B0F" w:rsidR="00CA3B3F" w:rsidRPr="003D3C60" w:rsidRDefault="00000000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 xml:space="preserve">At least one community event </w:t>
            </w:r>
            <w:r w:rsidR="003D3C60">
              <w:rPr>
                <w:rFonts w:ascii="Times New Roman" w:eastAsia="Times New Roman" w:hAnsi="Times New Roman" w:cs="Times New Roman"/>
                <w:lang w:val="en-GB"/>
              </w:rPr>
              <w:t>focused on gender equality is held annually, involving both students and faculty members</w:t>
            </w:r>
            <w:r w:rsidRPr="003D3C60">
              <w:rPr>
                <w:rFonts w:ascii="Times New Roman" w:eastAsia="Times New Roman" w:hAnsi="Times New Roman" w:cs="Times New Roman"/>
                <w:lang w:val="en-GB"/>
              </w:rPr>
              <w:t>.</w:t>
            </w:r>
          </w:p>
        </w:tc>
      </w:tr>
      <w:tr w:rsidR="00992564" w:rsidRPr="003D3C60" w14:paraId="6E6F479A" w14:textId="77777777">
        <w:tc>
          <w:tcPr>
            <w:tcW w:w="2417" w:type="dxa"/>
            <w:tcBorders>
              <w:top w:val="nil"/>
            </w:tcBorders>
          </w:tcPr>
          <w:p w14:paraId="3F17FB47" w14:textId="77777777" w:rsidR="00CA3B3F" w:rsidRPr="003D3C60" w:rsidRDefault="00CA3B3F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741" w:type="dxa"/>
          </w:tcPr>
          <w:p w14:paraId="160FA67E" w14:textId="77777777" w:rsidR="00CA3B3F" w:rsidRPr="003D3C60" w:rsidRDefault="00000000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bookmarkStart w:id="6" w:name="_heading=h.3ewla37m1ehd" w:colFirst="0" w:colLast="0"/>
            <w:bookmarkEnd w:id="6"/>
            <w:r w:rsidRPr="003D3C60">
              <w:rPr>
                <w:rFonts w:ascii="Times New Roman" w:eastAsia="Times New Roman" w:hAnsi="Times New Roman" w:cs="Times New Roman"/>
                <w:lang w:val="en-GB"/>
              </w:rPr>
              <w:t>4.4. Organise information campaigns promoting gender diversity in underrepresented fields of study.</w:t>
            </w:r>
          </w:p>
        </w:tc>
        <w:tc>
          <w:tcPr>
            <w:tcW w:w="3055" w:type="dxa"/>
          </w:tcPr>
          <w:p w14:paraId="7172DF20" w14:textId="77777777" w:rsidR="00CA3B3F" w:rsidRPr="003D3C60" w:rsidRDefault="00000000" w:rsidP="00C37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4.4.1. Information campaigns for school students on study opportunities, highlighting the benefits of gender diversity.</w:t>
            </w:r>
          </w:p>
          <w:p w14:paraId="5EE6C709" w14:textId="77777777" w:rsidR="00CA3B3F" w:rsidRPr="003D3C60" w:rsidRDefault="00000000" w:rsidP="00C37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4.4.2. Success stories about choosing a field of study that is non-typical for one’s gender.</w:t>
            </w:r>
          </w:p>
        </w:tc>
        <w:tc>
          <w:tcPr>
            <w:tcW w:w="2106" w:type="dxa"/>
          </w:tcPr>
          <w:p w14:paraId="566E7A36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Student Affairs and Career Unit; Marketing and Communications Unit</w:t>
            </w:r>
          </w:p>
        </w:tc>
        <w:tc>
          <w:tcPr>
            <w:tcW w:w="1474" w:type="dxa"/>
          </w:tcPr>
          <w:p w14:paraId="67535091" w14:textId="5125454B" w:rsidR="00CA3B3F" w:rsidRPr="003D3C60" w:rsidRDefault="003D3C6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Annually</w:t>
            </w:r>
          </w:p>
        </w:tc>
        <w:tc>
          <w:tcPr>
            <w:tcW w:w="2770" w:type="dxa"/>
          </w:tcPr>
          <w:p w14:paraId="0246BA8C" w14:textId="77777777" w:rsidR="00CA3B3F" w:rsidRPr="003D3C60" w:rsidRDefault="00000000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At least 2 annual information campaigns on gender diversity in studies.</w:t>
            </w:r>
          </w:p>
        </w:tc>
      </w:tr>
      <w:tr w:rsidR="00992564" w:rsidRPr="003D3C60" w14:paraId="2485C4CC" w14:textId="77777777">
        <w:tc>
          <w:tcPr>
            <w:tcW w:w="14563" w:type="dxa"/>
            <w:gridSpan w:val="6"/>
          </w:tcPr>
          <w:p w14:paraId="3E1AC85F" w14:textId="77777777" w:rsidR="00CA3B3F" w:rsidRPr="003D3C60" w:rsidRDefault="00000000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b/>
                <w:lang w:val="en-GB"/>
              </w:rPr>
              <w:t>V. Measures against gender-based violence, including sexual harassment</w:t>
            </w:r>
          </w:p>
        </w:tc>
      </w:tr>
      <w:tr w:rsidR="00992564" w:rsidRPr="003D3C60" w14:paraId="01457D84" w14:textId="77777777">
        <w:tc>
          <w:tcPr>
            <w:tcW w:w="2417" w:type="dxa"/>
            <w:vMerge w:val="restart"/>
          </w:tcPr>
          <w:p w14:paraId="3ADB893F" w14:textId="77777777" w:rsidR="00CA3B3F" w:rsidRPr="003D3C60" w:rsidRDefault="00000000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 xml:space="preserve">5. Create a safe environment with zero tolerance for gender-based harassment and sexual harassment, ensuring a clear procedure for reporting and resolution. </w:t>
            </w:r>
          </w:p>
        </w:tc>
        <w:tc>
          <w:tcPr>
            <w:tcW w:w="2741" w:type="dxa"/>
          </w:tcPr>
          <w:p w14:paraId="132D0623" w14:textId="77777777" w:rsidR="00CA3B3F" w:rsidRPr="003D3C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bookmarkStart w:id="7" w:name="_heading=h.he0jxlveaqq6" w:colFirst="0" w:colLast="0"/>
            <w:bookmarkEnd w:id="7"/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5.1. Strengthen the anonymous reporting system for gender-based harassment and regulate its application.</w:t>
            </w:r>
          </w:p>
        </w:tc>
        <w:tc>
          <w:tcPr>
            <w:tcW w:w="3055" w:type="dxa"/>
          </w:tcPr>
          <w:p w14:paraId="415134CC" w14:textId="77777777" w:rsidR="00CA3B3F" w:rsidRPr="003D3C60" w:rsidRDefault="00000000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5.1.1. Internal documents define the procedures for submitting and handling anonymous reports.</w:t>
            </w:r>
          </w:p>
        </w:tc>
        <w:tc>
          <w:tcPr>
            <w:tcW w:w="2106" w:type="dxa"/>
          </w:tcPr>
          <w:p w14:paraId="636345E8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Human Resources Unit; Head of Community Well-being;</w:t>
            </w:r>
          </w:p>
          <w:p w14:paraId="727DC047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Legal and Document Management Unit</w:t>
            </w:r>
          </w:p>
        </w:tc>
        <w:tc>
          <w:tcPr>
            <w:tcW w:w="1474" w:type="dxa"/>
          </w:tcPr>
          <w:p w14:paraId="5D464C51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2026</w:t>
            </w:r>
          </w:p>
        </w:tc>
        <w:tc>
          <w:tcPr>
            <w:tcW w:w="2770" w:type="dxa"/>
          </w:tcPr>
          <w:p w14:paraId="6CEAA83F" w14:textId="77777777" w:rsidR="00CA3B3F" w:rsidRPr="003D3C60" w:rsidRDefault="00000000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 xml:space="preserve">Updated procedure for submitting and handling anonymous reports. </w:t>
            </w:r>
          </w:p>
        </w:tc>
      </w:tr>
      <w:tr w:rsidR="00992564" w:rsidRPr="003D3C60" w14:paraId="57A63FD1" w14:textId="77777777">
        <w:tc>
          <w:tcPr>
            <w:tcW w:w="2417" w:type="dxa"/>
            <w:vMerge/>
          </w:tcPr>
          <w:p w14:paraId="61ECD18C" w14:textId="77777777" w:rsidR="00CA3B3F" w:rsidRPr="003D3C60" w:rsidRDefault="00CA3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741" w:type="dxa"/>
          </w:tcPr>
          <w:p w14:paraId="552FC239" w14:textId="77777777" w:rsidR="00CA3B3F" w:rsidRPr="003D3C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5.2. Carry out regular staff training and communication on violence prevention and zero tolerance for violence.</w:t>
            </w:r>
          </w:p>
        </w:tc>
        <w:tc>
          <w:tcPr>
            <w:tcW w:w="3055" w:type="dxa"/>
          </w:tcPr>
          <w:p w14:paraId="243AEC43" w14:textId="77777777" w:rsidR="00CA3B3F" w:rsidRPr="003D3C60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5.2.1. Training programmes for staff include topics on violence prevention and response methods.</w:t>
            </w:r>
          </w:p>
          <w:p w14:paraId="03867ADE" w14:textId="77777777" w:rsidR="00CA3B3F" w:rsidRPr="003D3C60" w:rsidRDefault="00000000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5.2.2. Regularly published communication messages</w:t>
            </w:r>
            <w:r w:rsidRPr="003D3C60">
              <w:rPr>
                <w:rFonts w:ascii="Times New Roman" w:eastAsia="Times New Roman" w:hAnsi="Times New Roman" w:cs="Times New Roman"/>
                <w:lang w:val="en-GB"/>
              </w:rPr>
              <w:t xml:space="preserve"> on violence prevention and zero tolerance for violence.</w:t>
            </w:r>
          </w:p>
        </w:tc>
        <w:tc>
          <w:tcPr>
            <w:tcW w:w="2106" w:type="dxa"/>
          </w:tcPr>
          <w:p w14:paraId="592456C9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Human Resources Unit; Head of Community Well-being;</w:t>
            </w:r>
          </w:p>
          <w:p w14:paraId="62224970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Lifelong Learning Centre;</w:t>
            </w:r>
          </w:p>
          <w:p w14:paraId="58684785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Marketing and Communications Unit</w:t>
            </w:r>
          </w:p>
        </w:tc>
        <w:tc>
          <w:tcPr>
            <w:tcW w:w="1474" w:type="dxa"/>
          </w:tcPr>
          <w:p w14:paraId="338CA07E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On an ongoing basis</w:t>
            </w:r>
          </w:p>
        </w:tc>
        <w:tc>
          <w:tcPr>
            <w:tcW w:w="2770" w:type="dxa"/>
          </w:tcPr>
          <w:p w14:paraId="34F5E02F" w14:textId="77777777" w:rsidR="00CA3B3F" w:rsidRPr="003D3C60" w:rsidRDefault="00000000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Number of trainings/communication messages implemented.</w:t>
            </w:r>
          </w:p>
        </w:tc>
      </w:tr>
      <w:tr w:rsidR="00992564" w:rsidRPr="003D3C60" w14:paraId="2A6E8156" w14:textId="77777777">
        <w:tc>
          <w:tcPr>
            <w:tcW w:w="2417" w:type="dxa"/>
            <w:vMerge/>
          </w:tcPr>
          <w:p w14:paraId="1FEB1F7A" w14:textId="77777777" w:rsidR="00CA3B3F" w:rsidRPr="003D3C60" w:rsidRDefault="00CA3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741" w:type="dxa"/>
          </w:tcPr>
          <w:p w14:paraId="1A234A0A" w14:textId="77777777" w:rsidR="00CA3B3F" w:rsidRPr="003D3C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5.3. Regularly monitor the number of cases and evaluate the effectiveness of the measures.</w:t>
            </w:r>
          </w:p>
        </w:tc>
        <w:tc>
          <w:tcPr>
            <w:tcW w:w="3055" w:type="dxa"/>
          </w:tcPr>
          <w:p w14:paraId="56DC1662" w14:textId="77777777" w:rsidR="00CA3B3F" w:rsidRPr="003D3C60" w:rsidRDefault="00000000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5.3.1. Case statistics are maintained in compliance with confidentiality principles.</w:t>
            </w:r>
          </w:p>
          <w:p w14:paraId="545382A5" w14:textId="77777777" w:rsidR="00CA3B3F" w:rsidRPr="003D3C60" w:rsidRDefault="00000000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5.3.2. The activity report includes an evaluation of the effectiveness of the measures applied.</w:t>
            </w:r>
          </w:p>
        </w:tc>
        <w:tc>
          <w:tcPr>
            <w:tcW w:w="2106" w:type="dxa"/>
          </w:tcPr>
          <w:p w14:paraId="22C7D400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Head of Community Well-being</w:t>
            </w:r>
          </w:p>
        </w:tc>
        <w:tc>
          <w:tcPr>
            <w:tcW w:w="1474" w:type="dxa"/>
          </w:tcPr>
          <w:p w14:paraId="671CD898" w14:textId="483C56C5" w:rsidR="00CA3B3F" w:rsidRPr="003D3C60" w:rsidRDefault="003D3C6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Annually</w:t>
            </w:r>
          </w:p>
        </w:tc>
        <w:tc>
          <w:tcPr>
            <w:tcW w:w="2770" w:type="dxa"/>
          </w:tcPr>
          <w:p w14:paraId="58AE1BD4" w14:textId="77777777" w:rsidR="00CA3B3F" w:rsidRPr="003D3C60" w:rsidRDefault="00000000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Number of cases</w:t>
            </w:r>
          </w:p>
        </w:tc>
      </w:tr>
      <w:tr w:rsidR="00992564" w:rsidRPr="003D3C60" w14:paraId="6A8C0865" w14:textId="77777777">
        <w:tc>
          <w:tcPr>
            <w:tcW w:w="14563" w:type="dxa"/>
            <w:gridSpan w:val="6"/>
          </w:tcPr>
          <w:p w14:paraId="6C649A9A" w14:textId="77777777" w:rsidR="00CA3B3F" w:rsidRPr="003D3C60" w:rsidRDefault="00000000">
            <w:pPr>
              <w:rPr>
                <w:rFonts w:ascii="Times New Roman" w:eastAsia="Times New Roman" w:hAnsi="Times New Roman" w:cs="Times New Roman"/>
                <w:b/>
                <w:lang w:val="en-GB"/>
              </w:rPr>
            </w:pPr>
            <w:bookmarkStart w:id="8" w:name="_heading=h.kwjc9c20gu9w" w:colFirst="0" w:colLast="0"/>
            <w:bookmarkEnd w:id="8"/>
            <w:r w:rsidRPr="003D3C60">
              <w:rPr>
                <w:rFonts w:ascii="Times New Roman" w:eastAsia="Times New Roman" w:hAnsi="Times New Roman" w:cs="Times New Roman"/>
                <w:b/>
                <w:lang w:val="en-GB"/>
              </w:rPr>
              <w:t>VI. Monitoring the Implementation of the Gender Equality Plan</w:t>
            </w:r>
          </w:p>
        </w:tc>
      </w:tr>
      <w:tr w:rsidR="00992564" w:rsidRPr="003D3C60" w14:paraId="7F0BED95" w14:textId="77777777">
        <w:tc>
          <w:tcPr>
            <w:tcW w:w="2417" w:type="dxa"/>
          </w:tcPr>
          <w:p w14:paraId="192AEDAD" w14:textId="77777777" w:rsidR="00CA3B3F" w:rsidRPr="003D3C60" w:rsidRDefault="00000000">
            <w:pPr>
              <w:rPr>
                <w:rFonts w:ascii="Times New Roman" w:eastAsia="Times New Roman" w:hAnsi="Times New Roman" w:cs="Times New Roman"/>
                <w:lang w:val="en-GB"/>
              </w:rPr>
            </w:pPr>
            <w:bookmarkStart w:id="9" w:name="_heading=h.jlcqp62s0t8y" w:colFirst="0" w:colLast="0"/>
            <w:bookmarkEnd w:id="9"/>
            <w:r w:rsidRPr="003D3C60">
              <w:rPr>
                <w:rFonts w:ascii="Times New Roman" w:eastAsia="Times New Roman" w:hAnsi="Times New Roman" w:cs="Times New Roman"/>
                <w:lang w:val="en-GB"/>
              </w:rPr>
              <w:lastRenderedPageBreak/>
              <w:t xml:space="preserve">6. Ensure consistent monitoring and accountability in the implementation of the Gender Equality Plan. </w:t>
            </w:r>
          </w:p>
        </w:tc>
        <w:tc>
          <w:tcPr>
            <w:tcW w:w="2741" w:type="dxa"/>
          </w:tcPr>
          <w:p w14:paraId="1EECB74D" w14:textId="77777777" w:rsidR="00CA3B3F" w:rsidRPr="003D3C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bookmarkStart w:id="10" w:name="_heading=h.887o5jizsc2i" w:colFirst="0" w:colLast="0"/>
            <w:bookmarkEnd w:id="10"/>
            <w:r w:rsidRPr="003D3C6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6.1. Ensure consistent data collection and monitoring of the implementation of the Gender Equality Plan.</w:t>
            </w:r>
          </w:p>
        </w:tc>
        <w:tc>
          <w:tcPr>
            <w:tcW w:w="3055" w:type="dxa"/>
          </w:tcPr>
          <w:p w14:paraId="7A40DA50" w14:textId="77777777" w:rsidR="00CA3B3F" w:rsidRPr="003D3C60" w:rsidRDefault="00000000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6.1.1. Gender-disaggregated data are collected annually for the preparation of the annual report.</w:t>
            </w:r>
          </w:p>
          <w:p w14:paraId="25042AFF" w14:textId="77777777" w:rsidR="00CA3B3F" w:rsidRPr="003D3C60" w:rsidRDefault="00000000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6.1.2. An annual Gender Equality Plan progress report is prepared.</w:t>
            </w:r>
          </w:p>
        </w:tc>
        <w:tc>
          <w:tcPr>
            <w:tcW w:w="2106" w:type="dxa"/>
          </w:tcPr>
          <w:p w14:paraId="2BF23CE6" w14:textId="77777777" w:rsidR="00CA3B3F" w:rsidRPr="003D3C60" w:rsidRDefault="0000000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Head of Community Well-being</w:t>
            </w:r>
          </w:p>
        </w:tc>
        <w:tc>
          <w:tcPr>
            <w:tcW w:w="1474" w:type="dxa"/>
          </w:tcPr>
          <w:p w14:paraId="0717093E" w14:textId="2EAEF39E" w:rsidR="00CA3B3F" w:rsidRPr="003D3C60" w:rsidRDefault="003D3C60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Annually</w:t>
            </w:r>
          </w:p>
        </w:tc>
        <w:tc>
          <w:tcPr>
            <w:tcW w:w="2770" w:type="dxa"/>
          </w:tcPr>
          <w:p w14:paraId="19CA4028" w14:textId="77777777" w:rsidR="00CA3B3F" w:rsidRPr="003D3C60" w:rsidRDefault="00000000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3D3C60">
              <w:rPr>
                <w:rFonts w:ascii="Times New Roman" w:eastAsia="Times New Roman" w:hAnsi="Times New Roman" w:cs="Times New Roman"/>
                <w:lang w:val="en-GB"/>
              </w:rPr>
              <w:t>A Gender Equality Plan progress report has been prepared.</w:t>
            </w:r>
          </w:p>
        </w:tc>
      </w:tr>
    </w:tbl>
    <w:p w14:paraId="07A67008" w14:textId="77777777" w:rsidR="00CA3B3F" w:rsidRPr="003D3C60" w:rsidRDefault="00CA3B3F">
      <w:pPr>
        <w:rPr>
          <w:lang w:val="en-GB"/>
        </w:rPr>
      </w:pPr>
    </w:p>
    <w:p w14:paraId="1724A2F9" w14:textId="77777777" w:rsidR="00CA3B3F" w:rsidRPr="003D3C60" w:rsidRDefault="00000000">
      <w:pPr>
        <w:rPr>
          <w:lang w:val="en-GB"/>
        </w:rPr>
      </w:pPr>
      <w:r w:rsidRPr="003D3C60">
        <w:rPr>
          <w:lang w:val="en-GB"/>
        </w:rPr>
        <w:br/>
      </w:r>
    </w:p>
    <w:sectPr w:rsidR="00CA3B3F" w:rsidRPr="003D3C60">
      <w:footerReference w:type="default" r:id="rId8"/>
      <w:pgSz w:w="16838" w:h="11906" w:orient="landscape"/>
      <w:pgMar w:top="1134" w:right="567" w:bottom="1134" w:left="1701" w:header="567" w:footer="567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BCBD8" w14:textId="77777777" w:rsidR="00BA0C9E" w:rsidRDefault="00BA0C9E">
      <w:pPr>
        <w:spacing w:after="0" w:line="240" w:lineRule="auto"/>
      </w:pPr>
      <w:r>
        <w:separator/>
      </w:r>
    </w:p>
  </w:endnote>
  <w:endnote w:type="continuationSeparator" w:id="0">
    <w:p w14:paraId="039E2033" w14:textId="77777777" w:rsidR="00BA0C9E" w:rsidRDefault="00BA0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020820"/>
      <w:docPartObj>
        <w:docPartGallery w:val="Page Numbers (Bottom of Page)"/>
        <w:docPartUnique/>
      </w:docPartObj>
    </w:sdtPr>
    <w:sdtContent>
      <w:p w14:paraId="11B52576" w14:textId="77777777" w:rsidR="00C37BFE" w:rsidRDefault="0000000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6</w:t>
        </w:r>
        <w:r>
          <w:fldChar w:fldCharType="end"/>
        </w:r>
      </w:p>
    </w:sdtContent>
  </w:sdt>
  <w:p w14:paraId="6D6AD524" w14:textId="77777777" w:rsidR="00C37BFE" w:rsidRDefault="00C37B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B38B8" w14:textId="77777777" w:rsidR="00BA0C9E" w:rsidRDefault="00BA0C9E">
      <w:pPr>
        <w:spacing w:after="0" w:line="240" w:lineRule="auto"/>
      </w:pPr>
      <w:r>
        <w:separator/>
      </w:r>
    </w:p>
  </w:footnote>
  <w:footnote w:type="continuationSeparator" w:id="0">
    <w:p w14:paraId="0643D484" w14:textId="77777777" w:rsidR="00BA0C9E" w:rsidRDefault="00BA0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14BC3"/>
    <w:multiLevelType w:val="multilevel"/>
    <w:tmpl w:val="8C24E0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04F346A"/>
    <w:multiLevelType w:val="multilevel"/>
    <w:tmpl w:val="E85EF764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093631">
    <w:abstractNumId w:val="0"/>
  </w:num>
  <w:num w:numId="2" w16cid:durableId="266080056">
    <w:abstractNumId w:val="1"/>
  </w:num>
  <w:num w:numId="3" w16cid:durableId="5134209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B3F"/>
    <w:rsid w:val="00126D94"/>
    <w:rsid w:val="00223824"/>
    <w:rsid w:val="00275B46"/>
    <w:rsid w:val="003D3C60"/>
    <w:rsid w:val="005A25EB"/>
    <w:rsid w:val="005E57B0"/>
    <w:rsid w:val="00992564"/>
    <w:rsid w:val="00BA0C9E"/>
    <w:rsid w:val="00C37BFE"/>
    <w:rsid w:val="00CA3B3F"/>
    <w:rsid w:val="00CF2BF3"/>
    <w:rsid w:val="00D1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34462E"/>
  <w15:docId w15:val="{D5BE49B2-E638-4FD7-96F6-4E8C0F44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 w:line="276" w:lineRule="auto"/>
      <w:outlineLvl w:val="0"/>
    </w:pPr>
    <w:rPr>
      <w:b/>
      <w:color w:val="2F5496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Antrat1Diagrama">
    <w:name w:val="Antraštė 1 Diagrama"/>
    <w:basedOn w:val="DefaultParagraphFont"/>
    <w:uiPriority w:val="9"/>
    <w:rsid w:val="00F1774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BalloonText">
    <w:name w:val="Balloon Text"/>
    <w:link w:val="BalloonTextChar"/>
    <w:uiPriority w:val="99"/>
    <w:semiHidden/>
    <w:unhideWhenUsed/>
    <w:rsid w:val="00F17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74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17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1774B"/>
    <w:rPr>
      <w:b/>
      <w:bCs/>
    </w:rPr>
  </w:style>
  <w:style w:type="paragraph" w:styleId="NormalWeb">
    <w:name w:val="Normal (Web)"/>
    <w:uiPriority w:val="99"/>
    <w:unhideWhenUsed/>
    <w:rsid w:val="00264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uiPriority w:val="34"/>
    <w:qFormat/>
    <w:rsid w:val="00264A6C"/>
    <w:pPr>
      <w:ind w:left="720"/>
      <w:contextualSpacing/>
    </w:pPr>
  </w:style>
  <w:style w:type="paragraph" w:styleId="ListBullet">
    <w:name w:val="List Bullet"/>
    <w:uiPriority w:val="99"/>
    <w:unhideWhenUsed/>
    <w:rsid w:val="00264A6C"/>
    <w:pPr>
      <w:numPr>
        <w:numId w:val="2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Bullet2">
    <w:name w:val="List Bullet 2"/>
    <w:uiPriority w:val="99"/>
    <w:unhideWhenUsed/>
    <w:rsid w:val="004C5EF4"/>
    <w:pPr>
      <w:tabs>
        <w:tab w:val="num" w:pos="720"/>
      </w:tabs>
      <w:spacing w:after="200" w:line="276" w:lineRule="auto"/>
      <w:ind w:left="720" w:hanging="720"/>
      <w:contextualSpacing/>
    </w:pPr>
    <w:rPr>
      <w:rFonts w:eastAsiaTheme="minorEastAsia"/>
      <w:lang w:val="en-US"/>
    </w:rPr>
  </w:style>
  <w:style w:type="character" w:customStyle="1" w:styleId="Antrat3Diagrama">
    <w:name w:val="Antraštė 3 Diagrama"/>
    <w:basedOn w:val="DefaultParagraphFont"/>
    <w:uiPriority w:val="9"/>
    <w:semiHidden/>
    <w:rsid w:val="002F33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a">
    <w:name w:val="a"/>
    <w:basedOn w:val="TableNormal0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name w:val="a0"/>
    <w:basedOn w:val="TableNormal0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37B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BFE"/>
  </w:style>
  <w:style w:type="paragraph" w:styleId="Footer">
    <w:name w:val="footer"/>
    <w:basedOn w:val="Normal"/>
    <w:link w:val="FooterChar"/>
    <w:uiPriority w:val="99"/>
    <w:unhideWhenUsed/>
    <w:rsid w:val="00C37B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NdZaj/iBnhiD+eQGtBX1/1KOyA==">CgMxLjAyDmgubnFpYXRldXFobHI0Mg5oLnF3OGRld2Q3bnkxbTIOaC51c25ncGc3a2ZvaDUyDmgubzR5M2dmOGhjNHViMg1oLm1jNnFzbnE1ZmwzMg5oLjNld2xhMzdtMWVoZDIOaC5oZTBqeGx2ZWFxcTYyDmgua3dqYzljMjBndTl3Mg5oLmpsY3FwNjJzMHQ4eTIOaC44ODdvNWppenNjMmk4AHIhMVFfSHc1SmRKWHdYT3FRNlNndWhQNXg1anZ6d1dZaG9a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1623</Words>
  <Characters>10052</Characters>
  <Application>Microsoft Office Word</Application>
  <DocSecurity>0</DocSecurity>
  <Lines>591</Lines>
  <Paragraphs>188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Adomaitienė</dc:creator>
  <cp:lastModifiedBy>Lina Abraitienė</cp:lastModifiedBy>
  <cp:revision>3</cp:revision>
  <dcterms:created xsi:type="dcterms:W3CDTF">2025-09-18T06:35:00Z</dcterms:created>
  <dcterms:modified xsi:type="dcterms:W3CDTF">2025-10-02T11:13:00Z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0d35b324-a239-46b3-ae53-409d80ff1d79</vt:lpwstr>
  </property>
</Properties>
</file>