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CD01936" w:rsidR="007A39F1" w:rsidRPr="00EF65E5" w:rsidRDefault="00F42C77" w:rsidP="00EF65E5">
      <w:pPr>
        <w:spacing w:after="0" w:line="240" w:lineRule="auto"/>
        <w:jc w:val="center"/>
        <w:rPr>
          <w:rFonts w:ascii="Times New Roman" w:eastAsia="Times New Roman" w:hAnsi="Times New Roman" w:cs="Times New Roman"/>
          <w:b/>
          <w:bCs/>
          <w:sz w:val="24"/>
          <w:szCs w:val="24"/>
        </w:rPr>
      </w:pPr>
      <w:r w:rsidRPr="00EF65E5">
        <w:rPr>
          <w:rFonts w:ascii="Times New Roman" w:eastAsia="Times New Roman" w:hAnsi="Times New Roman" w:cs="Times New Roman"/>
          <w:b/>
          <w:bCs/>
          <w:sz w:val="24"/>
          <w:szCs w:val="24"/>
        </w:rPr>
        <w:t>„</w:t>
      </w:r>
      <w:r w:rsidR="00EF65E5" w:rsidRPr="00EF65E5">
        <w:rPr>
          <w:rFonts w:ascii="Times New Roman" w:eastAsia="Times New Roman" w:hAnsi="Times New Roman" w:cs="Times New Roman"/>
          <w:b/>
          <w:bCs/>
          <w:sz w:val="24"/>
          <w:szCs w:val="24"/>
        </w:rPr>
        <w:t>TARŠIŲ SUNKIOJO TRANSPORTO PRIEMONIŲ PAKEITIMO Į ELEKTRA ARBA VANDENILIU VAROMAS SKATINIMAS (N2)</w:t>
      </w:r>
      <w:r w:rsidRPr="00EF65E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55A27B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F65E5" w:rsidRPr="00EF65E5">
        <w:rPr>
          <w:rFonts w:ascii="Times New Roman" w:hAnsi="Times New Roman" w:cs="Times New Roman"/>
          <w:sz w:val="24"/>
          <w:szCs w:val="24"/>
        </w:rPr>
        <w:t>08-020-T</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0CD9AE4" w:rsidR="00A60B9A" w:rsidRPr="00EF65E5" w:rsidRDefault="00EF65E5" w:rsidP="3A2C37A1">
      <w:pPr>
        <w:spacing w:after="0" w:line="240" w:lineRule="auto"/>
        <w:ind w:firstLine="567"/>
        <w:jc w:val="both"/>
        <w:rPr>
          <w:rFonts w:ascii="Times New Roman" w:hAnsi="Times New Roman" w:cs="Times New Roman"/>
          <w:color w:val="808080" w:themeColor="background1" w:themeShade="80"/>
        </w:rPr>
      </w:pPr>
      <w:r w:rsidRPr="00EF65E5">
        <w:rPr>
          <w:rFonts w:ascii="Times New Roman" w:hAnsi="Times New Roman" w:cs="Times New Roman"/>
        </w:rPr>
        <w:t xml:space="preserve">Kvietimas parengtas vadovaujantis 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aprašu, patvirtintu Lietuvos Respublikos susisiekimo ministro 2024 m. </w:t>
      </w:r>
      <w:r>
        <w:rPr>
          <w:rFonts w:ascii="Times New Roman" w:hAnsi="Times New Roman" w:cs="Times New Roman"/>
        </w:rPr>
        <w:t>kovo</w:t>
      </w:r>
      <w:r w:rsidRPr="00EF65E5">
        <w:rPr>
          <w:rFonts w:ascii="Times New Roman" w:hAnsi="Times New Roman" w:cs="Times New Roman"/>
        </w:rPr>
        <w:t xml:space="preserve"> </w:t>
      </w:r>
      <w:r>
        <w:rPr>
          <w:rFonts w:ascii="Times New Roman" w:hAnsi="Times New Roman" w:cs="Times New Roman"/>
        </w:rPr>
        <w:t>4</w:t>
      </w:r>
      <w:r w:rsidRPr="00EF65E5">
        <w:rPr>
          <w:rFonts w:ascii="Times New Roman" w:hAnsi="Times New Roman" w:cs="Times New Roman"/>
        </w:rPr>
        <w:t xml:space="preserve"> d. įsakymu Nr. 3-</w:t>
      </w:r>
      <w:r>
        <w:rPr>
          <w:rFonts w:ascii="Times New Roman" w:hAnsi="Times New Roman" w:cs="Times New Roman"/>
        </w:rPr>
        <w:t>81</w:t>
      </w:r>
      <w:r w:rsidRPr="00EF65E5">
        <w:rPr>
          <w:rFonts w:ascii="Times New Roman" w:hAnsi="Times New Roman" w:cs="Times New Roman"/>
        </w:rPr>
        <w:t xml:space="preserve">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pateiktu kvietimų teikti projektų įgyvendinimo planus planu.</w:t>
      </w:r>
      <w:r w:rsidR="005C1521" w:rsidRPr="00EF65E5">
        <w:rPr>
          <w:rFonts w:ascii="Times New Roman" w:hAnsi="Times New Roman" w:cs="Times New Roman"/>
          <w:color w:val="808080" w:themeColor="background1" w:themeShade="8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7723A3"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10-001-06-01-01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F852B"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Skatinti alternatyviųjų degalų naudojimą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4C0CB8A"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C1AB167"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E21A1C4" w14:textId="77777777" w:rsidR="00962A9D" w:rsidRDefault="00CA7E27" w:rsidP="00CA7E27">
            <w:pPr>
              <w:spacing w:before="120" w:after="120"/>
              <w:jc w:val="both"/>
              <w:rPr>
                <w:rFonts w:ascii="Times New Roman" w:hAnsi="Times New Roman" w:cs="Times New Roman"/>
              </w:rPr>
            </w:pPr>
            <w:r w:rsidRPr="00CA7E27">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w:t>
            </w:r>
            <w:r>
              <w:rPr>
                <w:rFonts w:ascii="Times New Roman" w:hAnsi="Times New Roman" w:cs="Times New Roman"/>
              </w:rPr>
              <w:t>as (toliau – Aprašas)</w:t>
            </w:r>
          </w:p>
          <w:p w14:paraId="48901D63" w14:textId="5A10A1D2" w:rsidR="00CA7E27" w:rsidRPr="00CA7E27" w:rsidDel="00CA2776" w:rsidRDefault="000A3B39" w:rsidP="00CA7E27">
            <w:pPr>
              <w:spacing w:before="120" w:after="120"/>
              <w:jc w:val="both"/>
              <w:rPr>
                <w:rFonts w:ascii="Times New Roman" w:hAnsi="Times New Roman" w:cs="Times New Roman"/>
              </w:rPr>
            </w:pPr>
            <w:hyperlink r:id="rId11" w:history="1">
              <w:r w:rsidR="00CA7E27" w:rsidRPr="00EB5B10">
                <w:rPr>
                  <w:rStyle w:val="Hyperlink"/>
                  <w:rFonts w:ascii="Times New Roman" w:hAnsi="Times New Roman" w:cs="Times New Roman"/>
                </w:rPr>
                <w:t>https://www.e-tar.lt/portal/lt/legalAct/7b8265a0da3111eead77e967e3995264</w:t>
              </w:r>
            </w:hyperlink>
            <w:r w:rsidR="00CA7E27">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271E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68BEB341" w:rsidR="001A1453" w:rsidRPr="008B168C" w:rsidRDefault="000A3B3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A3B3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A3B3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A3B3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A3B3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A3B3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A3B3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77CD0D4B" w:rsidR="001A1453" w:rsidRPr="008B168C" w:rsidRDefault="000A3B39"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9A053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A3B3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A3B3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A3B3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A3B3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A3B3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A3B3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A3B3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A3B3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A3B3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A3B3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A3B3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A3B3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A3B3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A3B3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271E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38473327" w14:textId="21C276DC" w:rsidR="00E20AFE" w:rsidRDefault="000A3B3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A3B3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271E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065"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6D66190" w:rsidR="00E20AFE" w:rsidRPr="008B168C" w:rsidRDefault="00271EDD" w:rsidP="008B168C">
            <w:pPr>
              <w:rPr>
                <w:rFonts w:ascii="Times New Roman" w:hAnsi="Times New Roman" w:cs="Times New Roman"/>
              </w:rPr>
            </w:pPr>
            <w:r w:rsidRPr="00271EDD">
              <w:rPr>
                <w:rFonts w:ascii="Times New Roman" w:hAnsi="Times New Roman" w:cs="Times New Roman"/>
              </w:rPr>
              <w:t>Nuo 2024-03-</w:t>
            </w:r>
            <w:r>
              <w:rPr>
                <w:rFonts w:ascii="Times New Roman" w:hAnsi="Times New Roman" w:cs="Times New Roman"/>
              </w:rPr>
              <w:t>12</w:t>
            </w:r>
            <w:r w:rsidRPr="00271EDD">
              <w:rPr>
                <w:rFonts w:ascii="Times New Roman" w:hAnsi="Times New Roman" w:cs="Times New Roman"/>
              </w:rPr>
              <w:t xml:space="preserve"> 08:00 val.</w:t>
            </w:r>
          </w:p>
        </w:tc>
        <w:tc>
          <w:tcPr>
            <w:tcW w:w="2989" w:type="dxa"/>
          </w:tcPr>
          <w:p w14:paraId="05BA4005" w14:textId="2301E536" w:rsidR="00E20AFE" w:rsidRPr="008B168C" w:rsidRDefault="00271EDD" w:rsidP="008B168C">
            <w:pPr>
              <w:rPr>
                <w:rFonts w:ascii="Times New Roman" w:hAnsi="Times New Roman" w:cs="Times New Roman"/>
              </w:rPr>
            </w:pPr>
            <w:r w:rsidRPr="00271EDD">
              <w:rPr>
                <w:rFonts w:ascii="Times New Roman" w:hAnsi="Times New Roman" w:cs="Times New Roman"/>
              </w:rPr>
              <w:t>Iki 2024-09-02 17:00 val.</w:t>
            </w:r>
          </w:p>
        </w:tc>
      </w:tr>
      <w:tr w:rsidR="00DC7931" w:rsidRPr="008B168C" w14:paraId="0B0CF49A" w14:textId="77777777" w:rsidTr="006271E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065"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5891F6DB" w14:textId="258A29C0" w:rsidR="00E20AFE" w:rsidRPr="008B168C" w:rsidRDefault="000A3B3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6566A7E" w:rsidR="00E20AFE" w:rsidRPr="008B168C" w:rsidRDefault="000A3B3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271E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065"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12" w:type="dxa"/>
            <w:gridSpan w:val="3"/>
          </w:tcPr>
          <w:p w14:paraId="706A2DDD" w14:textId="1DBF2C3E" w:rsidR="00E20AFE" w:rsidRPr="008B168C" w:rsidRDefault="000A3B39"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A11029E"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271EA">
        <w:trPr>
          <w:cantSplit/>
          <w:trHeight w:val="1357"/>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812" w:type="dxa"/>
            <w:gridSpan w:val="3"/>
          </w:tcPr>
          <w:p w14:paraId="0660F1AF" w14:textId="432C1B67" w:rsidR="009C094C" w:rsidRPr="00F229DE" w:rsidRDefault="000A3B3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A3B3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A3B3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6F8D08A" w:rsidR="00F16FC5" w:rsidRPr="00F229DE" w:rsidRDefault="000A3B3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271E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065"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23C25B4F" w14:textId="7249C935" w:rsidR="00E20AFE" w:rsidRPr="00F9272F" w:rsidRDefault="000A3B3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37137803"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271E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065"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701A4E1F" w14:textId="6F868862" w:rsidR="00AF57CF" w:rsidRPr="008B168C" w:rsidRDefault="000A3B3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F14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A3B3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A3B3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A3B3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A3B3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A3B3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271E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3065"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AC029E" w:rsidRPr="008B168C" w:rsidRDefault="000A3B3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A3B3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A3B3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271E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3065"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AC029E" w:rsidRDefault="000A3B3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0768A9D" w:rsidR="00AC029E" w:rsidRPr="008B168C" w:rsidRDefault="000A3B3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403400">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A3B3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A3B3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A3B3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6271E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3065"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AC029E" w:rsidRPr="008B168C" w:rsidRDefault="000A3B3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A3B3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A3B3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A3B3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A3B3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6271E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3065"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AC029E" w:rsidRPr="008B168C" w:rsidRDefault="000A3B3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A3B3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A3B3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A3B3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6271E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3065"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AC029E" w:rsidRPr="008B168C" w:rsidRDefault="000A3B3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A3B3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A3B3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6271E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3065"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AC029E" w:rsidRPr="008B168C" w:rsidRDefault="000A3B3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A3B3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A3B3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A3B3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A3B3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A3B3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A3B3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A3B3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6271E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3065"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AC029E" w:rsidRPr="008B168C" w:rsidRDefault="000A3B3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271E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3065"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AC029E" w:rsidRPr="008B168C" w:rsidRDefault="000A3B3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A3B3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A3B3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A3B3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A3B3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6271E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3065"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AC029E" w:rsidRPr="008B168C" w:rsidRDefault="000A3B3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A3B3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A3B3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A3B3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A3B3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A3B3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A3B3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271E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3065"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AC029E" w:rsidRPr="008B168C" w:rsidRDefault="000A3B3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A3B3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271EA">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3065"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2" w:type="dxa"/>
            <w:gridSpan w:val="3"/>
          </w:tcPr>
          <w:p w14:paraId="0F28723D" w14:textId="0DE19157" w:rsidR="00AC029E" w:rsidRPr="008B168C" w:rsidRDefault="000A3B3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A3B3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A3B3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A3B3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A3B3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A3B3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A3B3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A3B3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A3B3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A3B3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6271E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3065"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AC029E" w:rsidRPr="008B168C" w:rsidRDefault="000A3B3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A3B3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271E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3065"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2" w:type="dxa"/>
            <w:gridSpan w:val="3"/>
          </w:tcPr>
          <w:p w14:paraId="2B2F979A" w14:textId="48DD02C3" w:rsidR="00AC029E" w:rsidRPr="008B168C" w:rsidRDefault="000A3B3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271EA">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7139B4" w:rsidRDefault="000A3B3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271E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3065"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4D43A0" w:rsidRDefault="000A3B3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271E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3065"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4D43A0" w:rsidRPr="009C094C" w:rsidRDefault="000A3B3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271E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065"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2" w:type="dxa"/>
            <w:gridSpan w:val="3"/>
          </w:tcPr>
          <w:p w14:paraId="73840F48" w14:textId="6956638A" w:rsidR="00395533" w:rsidRPr="00403400" w:rsidRDefault="00403400" w:rsidP="00395533">
            <w:pPr>
              <w:jc w:val="both"/>
              <w:rPr>
                <w:rFonts w:ascii="Times New Roman" w:eastAsia="Times New Roman" w:hAnsi="Times New Roman" w:cs="Times New Roman"/>
              </w:rPr>
            </w:pPr>
            <w:r w:rsidRPr="00403400">
              <w:rPr>
                <w:rFonts w:ascii="Times New Roman" w:eastAsia="Times New Roman" w:hAnsi="Times New Roman" w:cs="Times New Roman"/>
              </w:rPr>
              <w:t xml:space="preserve">2 400 000,00 </w:t>
            </w:r>
            <w:proofErr w:type="spellStart"/>
            <w:r w:rsidRPr="00403400">
              <w:rPr>
                <w:rFonts w:ascii="Times New Roman" w:eastAsia="Times New Roman" w:hAnsi="Times New Roman" w:cs="Times New Roman"/>
              </w:rPr>
              <w:t>eur</w:t>
            </w:r>
            <w:proofErr w:type="spellEnd"/>
            <w:r w:rsidRPr="00403400">
              <w:rPr>
                <w:rFonts w:ascii="Times New Roman" w:eastAsia="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6271E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065"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2" w:type="dxa"/>
            <w:gridSpan w:val="3"/>
          </w:tcPr>
          <w:p w14:paraId="6AA86F82" w14:textId="32359633" w:rsidR="00390B47" w:rsidRPr="004B3E5F" w:rsidRDefault="000A3B3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6271E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3065"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812" w:type="dxa"/>
            <w:gridSpan w:val="3"/>
          </w:tcPr>
          <w:p w14:paraId="08E17EE1" w14:textId="77777777" w:rsidR="00403400" w:rsidRDefault="00403400" w:rsidP="003653E2">
            <w:pPr>
              <w:spacing w:line="257" w:lineRule="auto"/>
              <w:jc w:val="both"/>
              <w:rPr>
                <w:rFonts w:ascii="Times New Roman" w:hAnsi="Times New Roman" w:cs="Times New Roman"/>
              </w:rPr>
            </w:pPr>
          </w:p>
          <w:p w14:paraId="0201DC7D" w14:textId="4F874528" w:rsidR="000A3B39" w:rsidRDefault="000A3B39" w:rsidP="003653E2">
            <w:pPr>
              <w:spacing w:line="257" w:lineRule="auto"/>
              <w:jc w:val="both"/>
              <w:rPr>
                <w:rFonts w:ascii="Times New Roman" w:hAnsi="Times New Roman" w:cs="Times New Roman"/>
              </w:rPr>
            </w:pPr>
            <w:r w:rsidRPr="00403400">
              <w:rPr>
                <w:rFonts w:ascii="Times New Roman" w:eastAsia="Times New Roman" w:hAnsi="Times New Roman" w:cs="Times New Roman"/>
              </w:rPr>
              <w:t>2 400 000,00</w:t>
            </w:r>
            <w:r w:rsidRPr="00F229DE">
              <w:rPr>
                <w:rFonts w:ascii="Times New Roman" w:hAnsi="Times New Roman" w:cs="Times New Roman"/>
              </w:rPr>
              <w:t xml:space="preserve"> </w:t>
            </w:r>
            <w:proofErr w:type="spellStart"/>
            <w:r w:rsidRPr="00F229DE">
              <w:rPr>
                <w:rFonts w:ascii="Times New Roman" w:hAnsi="Times New Roman" w:cs="Times New Roman"/>
              </w:rPr>
              <w:t>eur</w:t>
            </w:r>
            <w:proofErr w:type="spellEnd"/>
          </w:p>
          <w:p w14:paraId="7821D6A0" w14:textId="57075651" w:rsidR="00952E09" w:rsidRPr="00F229DE" w:rsidRDefault="000A3B3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2F2F31">
                  <w:rPr>
                    <w:rFonts w:ascii="MS Gothic" w:eastAsia="MS Gothic" w:hAnsi="MS Gothic" w:cs="Times New Roman" w:hint="eastAsia"/>
                  </w:rPr>
                  <w:t>☐</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271E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3065"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812" w:type="dxa"/>
            <w:gridSpan w:val="3"/>
          </w:tcPr>
          <w:p w14:paraId="650FD000" w14:textId="5389E0CA" w:rsidR="0C6E61CA" w:rsidRPr="00403400" w:rsidRDefault="000A3B3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271E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065"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646D232F" w:rsidR="7809CF08" w:rsidRPr="009C094C"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6271E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065"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72108BEA" w:rsidR="5C52ABD5"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6271E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065"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2" w:type="dxa"/>
            <w:gridSpan w:val="3"/>
          </w:tcPr>
          <w:p w14:paraId="3BA2609B" w14:textId="167F9275" w:rsidR="72276AC6" w:rsidRPr="00BF5F79" w:rsidRDefault="00403400"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6271EA">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065"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2B975317" w:rsidR="00395C6D" w:rsidRPr="00395C6D" w:rsidRDefault="0040340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6271EA">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065"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2" w:type="dxa"/>
            <w:gridSpan w:val="3"/>
          </w:tcPr>
          <w:p w14:paraId="26AA648F" w14:textId="77777777" w:rsidR="00FE0FCD" w:rsidRDefault="00FE0FCD" w:rsidP="00403400">
            <w:pPr>
              <w:jc w:val="both"/>
              <w:rPr>
                <w:rFonts w:ascii="Times New Roman" w:hAnsi="Times New Roman" w:cs="Times New Roman"/>
              </w:rPr>
            </w:pPr>
          </w:p>
          <w:p w14:paraId="191BBACE" w14:textId="389FB5F6" w:rsidR="00403400" w:rsidRPr="00FE0FCD" w:rsidRDefault="00403400" w:rsidP="00403400">
            <w:pPr>
              <w:jc w:val="both"/>
              <w:rPr>
                <w:rFonts w:ascii="Times New Roman" w:hAnsi="Times New Roman" w:cs="Times New Roman"/>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w:t>
            </w:r>
            <w:r w:rsidR="00FE0FCD" w:rsidRPr="00FE0FCD">
              <w:rPr>
                <w:rFonts w:ascii="Times New Roman" w:hAnsi="Times New Roman" w:cs="Times New Roman"/>
              </w:rPr>
              <w:t>valstybės</w:t>
            </w:r>
            <w:r w:rsidRPr="00FE0FCD">
              <w:rPr>
                <w:rFonts w:ascii="Times New Roman" w:hAnsi="Times New Roman" w:cs="Times New Roman"/>
              </w:rPr>
              <w:t xml:space="preserve"> pagalba projektui)</w:t>
            </w:r>
            <w:r w:rsidR="006C61BD">
              <w:rPr>
                <w:rFonts w:ascii="Times New Roman" w:hAnsi="Times New Roman" w:cs="Times New Roman"/>
              </w:rPr>
              <w:t>.</w:t>
            </w:r>
          </w:p>
          <w:p w14:paraId="170DA5FE" w14:textId="6214774E" w:rsidR="00AC029E" w:rsidRPr="00FE0FCD" w:rsidRDefault="00403400" w:rsidP="00403400">
            <w:pPr>
              <w:rPr>
                <w:rFonts w:ascii="Times New Roman" w:hAnsi="Times New Roman" w:cs="Times New Roman"/>
              </w:rPr>
            </w:pPr>
            <w:r w:rsidRPr="00FE0FCD">
              <w:rPr>
                <w:rFonts w:ascii="Times New Roman" w:hAnsi="Times New Roman" w:cs="Times New Roman"/>
              </w:rPr>
              <w:t>12</w:t>
            </w:r>
            <w:r w:rsidR="00FE0FCD" w:rsidRPr="00FE0FCD">
              <w:rPr>
                <w:rFonts w:ascii="Times New Roman" w:hAnsi="Times New Roman" w:cs="Times New Roman"/>
              </w:rPr>
              <w:t xml:space="preserve"> </w:t>
            </w:r>
            <w:r w:rsidRPr="00FE0FCD">
              <w:rPr>
                <w:rFonts w:ascii="Times New Roman" w:hAnsi="Times New Roman" w:cs="Times New Roman"/>
              </w:rPr>
              <w:t xml:space="preserve">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vienai N2 klasės transporto priemonei</w:t>
            </w:r>
            <w:r w:rsidR="006C61BD">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271EA">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3065" w:type="dxa"/>
            <w:gridSpan w:val="2"/>
          </w:tcPr>
          <w:p w14:paraId="48C0C022" w14:textId="4598570A" w:rsidR="00192BFE" w:rsidRPr="006C61BD" w:rsidRDefault="006C61BD" w:rsidP="20C58E02">
            <w:pPr>
              <w:spacing w:after="160" w:line="259" w:lineRule="auto"/>
              <w:jc w:val="both"/>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5812" w:type="dxa"/>
            <w:gridSpan w:val="3"/>
          </w:tcPr>
          <w:p w14:paraId="2597C47A" w14:textId="3DF56889" w:rsidR="00192BFE" w:rsidRPr="006C61BD" w:rsidRDefault="006C61BD" w:rsidP="20C58E02">
            <w:pPr>
              <w:spacing w:after="160" w:line="257" w:lineRule="auto"/>
              <w:jc w:val="both"/>
              <w:rPr>
                <w:rFonts w:ascii="Times New Roman" w:hAnsi="Times New Roman" w:cs="Times New Roman"/>
              </w:rPr>
            </w:pPr>
            <w:r w:rsidRPr="006C61BD">
              <w:rPr>
                <w:rFonts w:ascii="Times New Roman" w:hAnsi="Times New Roman" w:cs="Times New Roman"/>
              </w:rPr>
              <w:t>Taršių sunkiojo transporto priemonių pakeitimo į elektra arba vandeniliu varomas skatinimas</w:t>
            </w:r>
          </w:p>
        </w:tc>
      </w:tr>
      <w:tr w:rsidR="00AC029E" w:rsidRPr="008B168C" w14:paraId="09CF0D37" w14:textId="5E93F9A5" w:rsidTr="006271EA">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065"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7B04E5DA" w14:textId="77777777" w:rsidR="00AC029E" w:rsidRDefault="006C61BD" w:rsidP="2327CC7F">
            <w:pPr>
              <w:rPr>
                <w:rFonts w:ascii="Times New Roman" w:hAnsi="Times New Roman" w:cs="Times New Roman"/>
              </w:rPr>
            </w:pPr>
            <w:r w:rsidRPr="006C61BD">
              <w:rPr>
                <w:rFonts w:ascii="Times New Roman" w:hAnsi="Times New Roman" w:cs="Times New Roman"/>
              </w:rPr>
              <w:t>Juridiniai asmenys, turintys teisę vykdyti ekonominę veiklą, valdantys taršias sunkiojo transporto priemones.</w:t>
            </w:r>
          </w:p>
          <w:p w14:paraId="6DDD2301" w14:textId="728EDA47" w:rsidR="006C61BD" w:rsidRPr="006C61BD" w:rsidRDefault="006C61BD" w:rsidP="2327CC7F">
            <w:pPr>
              <w:rPr>
                <w:rFonts w:ascii="Times New Roman" w:hAnsi="Times New Roman" w:cs="Times New Roman"/>
              </w:rPr>
            </w:pPr>
            <w:r w:rsidRPr="006C61BD">
              <w:rPr>
                <w:rFonts w:ascii="Times New Roman" w:hAnsi="Times New Roman" w:cs="Times New Roman"/>
              </w:rPr>
              <w:t>Netiesioginiai naudos gavėjai – visi Lietuvos Respublikos gyventojai</w:t>
            </w:r>
            <w:r>
              <w:rPr>
                <w:rFonts w:ascii="Times New Roman" w:hAnsi="Times New Roman" w:cs="Times New Roman"/>
              </w:rPr>
              <w:t>.</w:t>
            </w:r>
          </w:p>
        </w:tc>
      </w:tr>
      <w:tr w:rsidR="00AC029E" w:rsidRPr="008B168C" w14:paraId="5DF64BDA" w14:textId="212F7AE2" w:rsidTr="006271EA">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065"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055FD8A2" w:rsidR="00AC029E" w:rsidRPr="00F864F1" w:rsidRDefault="00F864F1" w:rsidP="00AC029E">
            <w:pPr>
              <w:rPr>
                <w:rFonts w:ascii="Times New Roman" w:hAnsi="Times New Roman" w:cs="Times New Roman"/>
              </w:rPr>
            </w:pPr>
            <w:r w:rsidRPr="00F864F1">
              <w:rPr>
                <w:rFonts w:ascii="Times New Roman" w:hAnsi="Times New Roman" w:cs="Times New Roman"/>
              </w:rPr>
              <w:t>Juridiniai asmenys, turintys teisę vykdyti ekonominę veiklą.</w:t>
            </w:r>
          </w:p>
        </w:tc>
      </w:tr>
      <w:tr w:rsidR="00D548BA" w:rsidRPr="008B168C" w14:paraId="3FA5F900" w14:textId="77777777" w:rsidTr="006271EA">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12EADA53" w14:textId="77777777" w:rsidR="00625FE0" w:rsidRPr="008F62D3" w:rsidRDefault="000A3B3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66B5D0E" w:rsidR="00625FE0" w:rsidRPr="008F62D3" w:rsidRDefault="000A3B3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F864F1">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6271EA">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065"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24108D3B" w:rsidR="00D548BA" w:rsidRPr="00F864F1" w:rsidRDefault="00F864F1" w:rsidP="00D548BA">
            <w:pPr>
              <w:rPr>
                <w:rFonts w:ascii="Times New Roman" w:hAnsi="Times New Roman" w:cs="Times New Roman"/>
              </w:rPr>
            </w:pPr>
            <w:r w:rsidRPr="00F864F1">
              <w:rPr>
                <w:rFonts w:ascii="Times New Roman" w:hAnsi="Times New Roman" w:cs="Times New Roman"/>
              </w:rPr>
              <w:t>Projektas vykdomas be partnerių.</w:t>
            </w:r>
          </w:p>
        </w:tc>
      </w:tr>
      <w:tr w:rsidR="00D548BA" w14:paraId="384CD925" w14:textId="77777777" w:rsidTr="006271EA">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065"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640EB9F8" w:rsidR="00D548BA" w:rsidRDefault="001D1FC1" w:rsidP="008F62D3">
            <w:pPr>
              <w:jc w:val="both"/>
              <w:rPr>
                <w:rFonts w:ascii="Times New Roman" w:hAnsi="Times New Roman" w:cs="Times New Roman"/>
                <w:i/>
                <w:iCs/>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Pr>
                <w:rFonts w:ascii="Times New Roman" w:hAnsi="Times New Roman" w:cs="Times New Roman"/>
              </w:rPr>
              <w:t>.</w:t>
            </w:r>
          </w:p>
        </w:tc>
      </w:tr>
      <w:tr w:rsidR="00D548BA" w14:paraId="27CDC5B4" w14:textId="77777777" w:rsidTr="006271EA">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065"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68FD0DBF" w:rsidR="00D548BA" w:rsidRPr="00001AC4" w:rsidRDefault="00001AC4" w:rsidP="008F62D3">
            <w:pPr>
              <w:jc w:val="both"/>
              <w:rPr>
                <w:rFonts w:ascii="Times New Roman" w:hAnsi="Times New Roman" w:cs="Times New Roman"/>
              </w:rPr>
            </w:pPr>
            <w:r w:rsidRPr="00001AC4">
              <w:rPr>
                <w:rFonts w:ascii="Times New Roman" w:hAnsi="Times New Roman" w:cs="Times New Roman"/>
              </w:rPr>
              <w:t>60 proc.</w:t>
            </w:r>
            <w:r w:rsidR="21B6B153" w:rsidRPr="00001AC4">
              <w:rPr>
                <w:rFonts w:ascii="Times New Roman" w:hAnsi="Times New Roman" w:cs="Times New Roman"/>
              </w:rPr>
              <w:t xml:space="preserve"> </w:t>
            </w:r>
            <w:r w:rsidR="00D548BA" w:rsidRPr="00001AC4">
              <w:rPr>
                <w:rFonts w:ascii="Times New Roman" w:hAnsi="Times New Roman" w:cs="Times New Roman"/>
              </w:rPr>
              <w:t xml:space="preserve"> </w:t>
            </w:r>
          </w:p>
        </w:tc>
      </w:tr>
      <w:tr w:rsidR="00D548BA" w:rsidRPr="008B168C" w14:paraId="2BB4D75E" w14:textId="77777777" w:rsidTr="006271EA">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065"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727E3910" w:rsidR="00D548BA" w:rsidRPr="002F2F31" w:rsidRDefault="002F2F31" w:rsidP="008F62D3">
            <w:pPr>
              <w:jc w:val="both"/>
              <w:rPr>
                <w:rFonts w:ascii="Times New Roman" w:hAnsi="Times New Roman" w:cs="Times New Roman"/>
              </w:rPr>
            </w:pPr>
            <w:r w:rsidRPr="002F2F31">
              <w:rPr>
                <w:rFonts w:ascii="Times New Roman" w:hAnsi="Times New Roman" w:cs="Times New Roman"/>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199792B" w14:textId="77777777" w:rsidR="00D548BA" w:rsidRDefault="001B7F84" w:rsidP="009004C0">
            <w:pPr>
              <w:jc w:val="both"/>
              <w:rPr>
                <w:rFonts w:ascii="Times New Roman" w:hAnsi="Times New Roman" w:cs="Times New Roman"/>
              </w:rPr>
            </w:pPr>
            <w:r>
              <w:rPr>
                <w:rFonts w:ascii="Times New Roman" w:hAnsi="Times New Roman" w:cs="Times New Roman"/>
              </w:rPr>
              <w:t xml:space="preserve">1. </w:t>
            </w:r>
            <w:r w:rsidRPr="00BE1659">
              <w:rPr>
                <w:rFonts w:ascii="Times New Roman" w:hAnsi="Times New Roman" w:cs="Times New Roman"/>
              </w:rPr>
              <w:t xml:space="preserve">Projekto išlaidos turi atitikti </w:t>
            </w:r>
            <w:r w:rsidRPr="001F1BA5">
              <w:rPr>
                <w:rFonts w:ascii="Times New Roman" w:hAnsi="Times New Roman" w:cs="Times New Roman"/>
              </w:rPr>
              <w:t xml:space="preserve">2021–2027 metų Europos Sąjungos fondų investicijų programos ir Ekonomikos gaivinimo ir atsparumo didinimo plano „Naujos kartos Lietuva“ </w:t>
            </w:r>
            <w:r w:rsidRPr="00D742CE">
              <w:rPr>
                <w:rFonts w:ascii="Times New Roman" w:hAnsi="Times New Roman" w:cs="Times New Roman"/>
              </w:rPr>
              <w:t>administravimo taisyklėse, patvirtintose Lietuvos Respublikos finansų ministro 2022 m. birželio 22 d. įsakymu Nr. 1K-237 „Dėl 2021–2027 metų Europos Sąjungos fondų investicijų programos ir Ekonomikos gaivinimo ir atsparumo didinimo plano „Naujos kartos Lietuva“ įgyvendinimo“, Projektų administravimo ir finansavimo taisyklių,</w:t>
            </w:r>
            <w:r w:rsidRPr="00A73363">
              <w:rPr>
                <w:rFonts w:ascii="Times New Roman" w:hAnsi="Times New Roman" w:cs="Times New Roman"/>
              </w:rPr>
              <w:t xml:space="preserve">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„Dėl 2021–2027 metų Europos Sąjungos fondų investicijų programos ir Ekonomikos gaivinimo ir atsparumo didinimo plano „Naujos kartos Lietuva“ įgyvendinimo“ (toliau – Projektų administravimo ir finansavimo taisykl</w:t>
            </w:r>
            <w:r>
              <w:rPr>
                <w:rFonts w:ascii="Times New Roman" w:hAnsi="Times New Roman" w:cs="Times New Roman"/>
              </w:rPr>
              <w:t>ės</w:t>
            </w:r>
            <w:r w:rsidRPr="00BE09B8">
              <w:rPr>
                <w:rFonts w:ascii="Times New Roman" w:hAnsi="Times New Roman" w:cs="Times New Roman"/>
              </w:rPr>
              <w:t>)</w:t>
            </w:r>
            <w:r w:rsidRPr="00A73363">
              <w:rPr>
                <w:rFonts w:ascii="Times New Roman" w:hAnsi="Times New Roman" w:cs="Times New Roman"/>
              </w:rPr>
              <w:t xml:space="preserve"> </w:t>
            </w:r>
            <w:r w:rsidRPr="00BE1659">
              <w:rPr>
                <w:rFonts w:ascii="Times New Roman" w:hAnsi="Times New Roman" w:cs="Times New Roman"/>
              </w:rPr>
              <w:t>(</w:t>
            </w:r>
            <w:hyperlink r:id="rId12"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VII skyri</w:t>
            </w:r>
            <w:r>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1A56BE32" w14:textId="77777777" w:rsidR="001B7F84" w:rsidRDefault="001B7F84" w:rsidP="009004C0">
            <w:pPr>
              <w:jc w:val="both"/>
              <w:rPr>
                <w:rFonts w:ascii="Times New Roman" w:hAnsi="Times New Roman" w:cs="Times New Roman"/>
              </w:rPr>
            </w:pPr>
            <w:r>
              <w:rPr>
                <w:rFonts w:ascii="Times New Roman" w:hAnsi="Times New Roman" w:cs="Times New Roman"/>
              </w:rPr>
              <w:t xml:space="preserve">2. </w:t>
            </w:r>
            <w:r w:rsidRPr="001B7F84">
              <w:rPr>
                <w:rFonts w:ascii="Times New Roman" w:hAnsi="Times New Roman" w:cs="Times New Roman"/>
              </w:rPr>
              <w:t xml:space="preserve">Pagal Aprašą tinkamos finansuoti išlaidos </w:t>
            </w:r>
            <w:r>
              <w:rPr>
                <w:rFonts w:ascii="Times New Roman" w:hAnsi="Times New Roman" w:cs="Times New Roman"/>
              </w:rPr>
              <w:t xml:space="preserve">yra </w:t>
            </w:r>
            <w:r w:rsidRPr="001B7F84">
              <w:rPr>
                <w:rFonts w:ascii="Times New Roman" w:hAnsi="Times New Roman" w:cs="Times New Roman"/>
              </w:rPr>
              <w:t>visai netaršių sunkiojo transporto priemonių įsigijimo išlaidos.</w:t>
            </w:r>
          </w:p>
          <w:p w14:paraId="7B120ED6" w14:textId="77777777" w:rsidR="001B7F84" w:rsidRDefault="001B7F84" w:rsidP="009004C0">
            <w:pPr>
              <w:jc w:val="both"/>
              <w:rPr>
                <w:rFonts w:ascii="Times New Roman" w:hAnsi="Times New Roman" w:cs="Times New Roman"/>
              </w:rPr>
            </w:pPr>
            <w:r>
              <w:rPr>
                <w:rFonts w:ascii="Times New Roman" w:hAnsi="Times New Roman" w:cs="Times New Roman"/>
              </w:rPr>
              <w:t xml:space="preserve">3. </w:t>
            </w:r>
            <w:r w:rsidRPr="001B7F84">
              <w:rPr>
                <w:rFonts w:ascii="Times New Roman" w:hAnsi="Times New Roman" w:cs="Times New Roman"/>
              </w:rPr>
              <w:t>Projekto išlaidos gali būti patirtos iki projekto sutarties pasirašymo, neprieštaraujant Aprašo 2.20 papunkčio nuostatoms</w:t>
            </w:r>
            <w:r>
              <w:rPr>
                <w:rFonts w:ascii="Times New Roman" w:hAnsi="Times New Roman" w:cs="Times New Roman"/>
              </w:rPr>
              <w:t>.</w:t>
            </w:r>
          </w:p>
          <w:p w14:paraId="60A428EB" w14:textId="77777777" w:rsidR="001B7F84" w:rsidRDefault="001B7F84" w:rsidP="009004C0">
            <w:pPr>
              <w:jc w:val="both"/>
              <w:rPr>
                <w:rFonts w:ascii="Times New Roman" w:hAnsi="Times New Roman" w:cs="Times New Roman"/>
              </w:rPr>
            </w:pPr>
            <w:r>
              <w:rPr>
                <w:rFonts w:ascii="Times New Roman" w:hAnsi="Times New Roman" w:cs="Times New Roman"/>
              </w:rPr>
              <w:t xml:space="preserve">4. </w:t>
            </w:r>
            <w:r w:rsidRPr="001B7F84">
              <w:rPr>
                <w:rFonts w:ascii="Times New Roman" w:hAnsi="Times New Roman" w:cs="Times New Roman"/>
              </w:rPr>
              <w:t>Projekto išlaidos apmokamos išlaidų kompensavimo būdu projekto vykdytojui deklaruojant patirtas ir apmokėtas išlaidas.</w:t>
            </w:r>
          </w:p>
          <w:p w14:paraId="1056F754" w14:textId="652724F7" w:rsidR="0054336C" w:rsidRDefault="0054336C" w:rsidP="009004C0">
            <w:pPr>
              <w:jc w:val="both"/>
              <w:rPr>
                <w:rFonts w:ascii="Times New Roman" w:hAnsi="Times New Roman" w:cs="Times New Roman"/>
              </w:rPr>
            </w:pPr>
            <w:r>
              <w:rPr>
                <w:rFonts w:ascii="Times New Roman" w:hAnsi="Times New Roman" w:cs="Times New Roman"/>
              </w:rPr>
              <w:t xml:space="preserve">5. </w:t>
            </w:r>
            <w:r w:rsidRPr="0054336C">
              <w:rPr>
                <w:rFonts w:ascii="Times New Roman" w:hAnsi="Times New Roman" w:cs="Times New Roman"/>
              </w:rPr>
              <w:t xml:space="preserve">Pareiškėjo prašymu išankstiniai (avansiniai) mokėjimai gali būti atliekami Projektų </w:t>
            </w:r>
            <w:r w:rsidR="00C83601" w:rsidRPr="00A73363">
              <w:rPr>
                <w:rFonts w:ascii="Times New Roman" w:hAnsi="Times New Roman" w:cs="Times New Roman"/>
              </w:rPr>
              <w:t>administravimo ir finansavimo</w:t>
            </w:r>
            <w:r w:rsidR="00C83601" w:rsidRPr="0054336C">
              <w:rPr>
                <w:rFonts w:ascii="Times New Roman" w:hAnsi="Times New Roman" w:cs="Times New Roman"/>
              </w:rPr>
              <w:t xml:space="preserve"> </w:t>
            </w:r>
            <w:r w:rsidRPr="0054336C">
              <w:rPr>
                <w:rFonts w:ascii="Times New Roman" w:hAnsi="Times New Roman" w:cs="Times New Roman"/>
              </w:rPr>
              <w:t>taisyklėse numatyta tvarka.</w:t>
            </w:r>
          </w:p>
          <w:p w14:paraId="74E32EE6" w14:textId="77777777" w:rsidR="0054336C" w:rsidRDefault="0054336C" w:rsidP="009004C0">
            <w:pPr>
              <w:jc w:val="both"/>
              <w:rPr>
                <w:rFonts w:ascii="Times New Roman" w:hAnsi="Times New Roman" w:cs="Times New Roman"/>
              </w:rPr>
            </w:pPr>
            <w:r>
              <w:rPr>
                <w:rFonts w:ascii="Times New Roman" w:hAnsi="Times New Roman" w:cs="Times New Roman"/>
              </w:rPr>
              <w:t xml:space="preserve">6. </w:t>
            </w:r>
            <w:r w:rsidRPr="0054336C">
              <w:rPr>
                <w:rFonts w:ascii="Times New Roman" w:hAnsi="Times New Roman" w:cs="Times New Roman"/>
              </w:rPr>
              <w:t>Pagal Aprašą netinkamomis finansuoti laikomos šios išlaidos:</w:t>
            </w:r>
          </w:p>
          <w:p w14:paraId="0E24332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6.1. </w:t>
            </w:r>
            <w:r w:rsidRPr="0054336C">
              <w:rPr>
                <w:rFonts w:ascii="Times New Roman" w:hAnsi="Times New Roman" w:cs="Times New Roman"/>
              </w:rPr>
              <w:t xml:space="preserve">nurodytos </w:t>
            </w:r>
            <w:r w:rsidRPr="00A73363">
              <w:rPr>
                <w:rFonts w:ascii="Times New Roman" w:hAnsi="Times New Roman" w:cs="Times New Roman"/>
              </w:rPr>
              <w:t>Projektų administravimo ir finansavimo</w:t>
            </w:r>
            <w:r w:rsidRPr="0054336C">
              <w:rPr>
                <w:rFonts w:ascii="Times New Roman" w:hAnsi="Times New Roman" w:cs="Times New Roman"/>
              </w:rPr>
              <w:t xml:space="preserve"> taisyklių VII skyriaus trečiajame skirsnyje;</w:t>
            </w:r>
          </w:p>
          <w:p w14:paraId="48EA882A" w14:textId="77777777" w:rsidR="0054336C" w:rsidRDefault="0054336C" w:rsidP="009004C0">
            <w:pPr>
              <w:jc w:val="both"/>
              <w:rPr>
                <w:rFonts w:ascii="Times New Roman" w:hAnsi="Times New Roman" w:cs="Times New Roman"/>
              </w:rPr>
            </w:pPr>
            <w:r>
              <w:rPr>
                <w:rFonts w:ascii="Times New Roman" w:hAnsi="Times New Roman" w:cs="Times New Roman"/>
              </w:rPr>
              <w:t xml:space="preserve">6.2. </w:t>
            </w:r>
            <w:r w:rsidRPr="0054336C">
              <w:rPr>
                <w:rFonts w:ascii="Times New Roman" w:hAnsi="Times New Roman" w:cs="Times New Roman"/>
              </w:rPr>
              <w:t>pridėtinės vertės mokestis;</w:t>
            </w:r>
          </w:p>
          <w:p w14:paraId="6062520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6.3. </w:t>
            </w:r>
            <w:r w:rsidRPr="0054336C">
              <w:rPr>
                <w:rFonts w:ascii="Times New Roman" w:hAnsi="Times New Roman" w:cs="Times New Roman"/>
              </w:rPr>
              <w:t>žemės įsigijimo ar nuomos;</w:t>
            </w:r>
          </w:p>
          <w:p w14:paraId="29049FB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6.4. </w:t>
            </w:r>
            <w:r w:rsidRPr="0054336C">
              <w:rPr>
                <w:rFonts w:ascii="Times New Roman" w:hAnsi="Times New Roman" w:cs="Times New Roman"/>
              </w:rPr>
              <w:t>įrangos, įrenginių ir kito turto atsarginių ir (ar) pakaitinių dalių įsigijimo;</w:t>
            </w:r>
          </w:p>
          <w:p w14:paraId="628DD721" w14:textId="77777777" w:rsidR="0054336C" w:rsidRDefault="0054336C" w:rsidP="009004C0">
            <w:pPr>
              <w:jc w:val="both"/>
              <w:rPr>
                <w:rFonts w:ascii="Times New Roman" w:hAnsi="Times New Roman" w:cs="Times New Roman"/>
              </w:rPr>
            </w:pPr>
            <w:r>
              <w:rPr>
                <w:rFonts w:ascii="Times New Roman" w:hAnsi="Times New Roman" w:cs="Times New Roman"/>
              </w:rPr>
              <w:t xml:space="preserve">6.5. </w:t>
            </w:r>
            <w:r w:rsidRPr="0054336C">
              <w:rPr>
                <w:rFonts w:ascii="Times New Roman" w:hAnsi="Times New Roman" w:cs="Times New Roman"/>
              </w:rPr>
              <w:t>visai netaršių sunkiojo transporto priemonių eksploatavimo ir susijusios išlaidos;</w:t>
            </w:r>
          </w:p>
          <w:p w14:paraId="0779FE4F" w14:textId="77777777" w:rsidR="0054336C" w:rsidRDefault="0054336C" w:rsidP="009004C0">
            <w:pPr>
              <w:jc w:val="both"/>
              <w:rPr>
                <w:rFonts w:ascii="Times New Roman" w:hAnsi="Times New Roman" w:cs="Times New Roman"/>
              </w:rPr>
            </w:pPr>
            <w:r>
              <w:rPr>
                <w:rFonts w:ascii="Times New Roman" w:hAnsi="Times New Roman" w:cs="Times New Roman"/>
              </w:rPr>
              <w:t xml:space="preserve">6.6. </w:t>
            </w:r>
            <w:r w:rsidRPr="0054336C">
              <w:rPr>
                <w:rFonts w:ascii="Times New Roman" w:hAnsi="Times New Roman" w:cs="Times New Roman"/>
              </w:rPr>
              <w:t>naudojamo ilgalaikio turto nusidėvėjimo (amortizacijos) sąnaudos;</w:t>
            </w:r>
          </w:p>
          <w:p w14:paraId="30C9CB3E" w14:textId="77777777" w:rsidR="0054336C" w:rsidRDefault="0054336C" w:rsidP="009004C0">
            <w:pPr>
              <w:jc w:val="both"/>
              <w:rPr>
                <w:rFonts w:ascii="Times New Roman" w:hAnsi="Times New Roman" w:cs="Times New Roman"/>
              </w:rPr>
            </w:pPr>
            <w:r>
              <w:rPr>
                <w:rFonts w:ascii="Times New Roman" w:hAnsi="Times New Roman" w:cs="Times New Roman"/>
              </w:rPr>
              <w:t xml:space="preserve">6.7. </w:t>
            </w:r>
            <w:r w:rsidRPr="0054336C">
              <w:rPr>
                <w:rFonts w:ascii="Times New Roman" w:hAnsi="Times New Roman" w:cs="Times New Roman"/>
              </w:rPr>
              <w:t>projektą vykdančio personalo ir (arba) projekto veiklose dalyvaujančių asmenų darbo užmokestis, komandiruočių ir kelionių išlaidos;</w:t>
            </w:r>
          </w:p>
          <w:p w14:paraId="43570ED9" w14:textId="77777777" w:rsidR="0054336C" w:rsidRDefault="0054336C" w:rsidP="009004C0">
            <w:pPr>
              <w:jc w:val="both"/>
              <w:rPr>
                <w:rFonts w:ascii="Times New Roman" w:hAnsi="Times New Roman" w:cs="Times New Roman"/>
              </w:rPr>
            </w:pPr>
            <w:r>
              <w:rPr>
                <w:rFonts w:ascii="Times New Roman" w:hAnsi="Times New Roman" w:cs="Times New Roman"/>
              </w:rPr>
              <w:t xml:space="preserve">6.8. </w:t>
            </w:r>
            <w:r w:rsidRPr="0054336C">
              <w:rPr>
                <w:rFonts w:ascii="Times New Roman" w:hAnsi="Times New Roman" w:cs="Times New Roman"/>
              </w:rPr>
              <w:t>netiesioginės išlaidos ir kitos išlaidos pagal fiksuotąją projekto išlaidų normą</w:t>
            </w:r>
            <w:r>
              <w:rPr>
                <w:rFonts w:ascii="Times New Roman" w:hAnsi="Times New Roman" w:cs="Times New Roman"/>
              </w:rPr>
              <w:t>;</w:t>
            </w:r>
          </w:p>
          <w:p w14:paraId="18FC924D" w14:textId="6E11FC84" w:rsidR="0054336C" w:rsidRPr="001B7F84" w:rsidRDefault="0054336C" w:rsidP="009004C0">
            <w:pPr>
              <w:jc w:val="both"/>
              <w:rPr>
                <w:rFonts w:ascii="Times New Roman" w:hAnsi="Times New Roman" w:cs="Times New Roman"/>
              </w:rPr>
            </w:pPr>
            <w:r>
              <w:rPr>
                <w:rFonts w:ascii="Times New Roman" w:hAnsi="Times New Roman" w:cs="Times New Roman"/>
              </w:rPr>
              <w:t>6.9. n</w:t>
            </w:r>
            <w:r w:rsidRPr="0054336C">
              <w:rPr>
                <w:rFonts w:ascii="Times New Roman" w:hAnsi="Times New Roman" w:cs="Times New Roman"/>
              </w:rPr>
              <w:t>epiniginis pareiškėjo įnašas</w:t>
            </w:r>
            <w:r>
              <w:rPr>
                <w:rFonts w:ascii="Times New Roman" w:hAnsi="Times New Roman" w:cs="Times New Roman"/>
              </w:rPr>
              <w:t>.</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5"/>
          </w:tcPr>
          <w:p w14:paraId="074FE837" w14:textId="1F83D70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224B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224B2">
            <w:pPr>
              <w:jc w:val="both"/>
              <w:rPr>
                <w:rFonts w:ascii="Times New Roman" w:hAnsi="Times New Roman" w:cs="Times New Roman"/>
                <w:b/>
                <w:bCs/>
                <w:iCs/>
              </w:rPr>
            </w:pPr>
          </w:p>
        </w:tc>
      </w:tr>
      <w:tr w:rsidR="00D548BA" w:rsidRPr="008B168C" w14:paraId="3278484E" w14:textId="1A8BCCD1" w:rsidTr="006271EA">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506"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271EA">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506" w:type="dxa"/>
          </w:tcPr>
          <w:p w14:paraId="537240A3" w14:textId="799A3241" w:rsidR="00D548BA" w:rsidRPr="009224B2" w:rsidRDefault="009224B2" w:rsidP="00D548BA">
            <w:pPr>
              <w:jc w:val="both"/>
              <w:rPr>
                <w:rFonts w:ascii="Times New Roman" w:eastAsia="Times New Roman" w:hAnsi="Times New Roman" w:cs="Times New Roman"/>
                <w:iCs/>
              </w:rPr>
            </w:pPr>
            <w:r w:rsidRPr="009224B2">
              <w:rPr>
                <w:rFonts w:ascii="Times New Roman" w:hAnsi="Times New Roman" w:cs="Times New Roman"/>
                <w:iCs/>
              </w:rPr>
              <w:t>FS-01-03</w:t>
            </w:r>
          </w:p>
        </w:tc>
        <w:tc>
          <w:tcPr>
            <w:tcW w:w="1559" w:type="dxa"/>
          </w:tcPr>
          <w:p w14:paraId="616A55FB" w14:textId="3EC445C5" w:rsidR="00D548BA" w:rsidRPr="009224B2" w:rsidRDefault="009224B2" w:rsidP="009224B2">
            <w:pPr>
              <w:jc w:val="center"/>
              <w:rPr>
                <w:rFonts w:ascii="Times New Roman" w:eastAsia="Times New Roman" w:hAnsi="Times New Roman" w:cs="Times New Roman"/>
                <w:iCs/>
              </w:rPr>
            </w:pPr>
            <w:r w:rsidRPr="009224B2">
              <w:rPr>
                <w:rFonts w:ascii="Times New Roman" w:hAnsi="Times New Roman" w:cs="Times New Roman"/>
                <w:iCs/>
              </w:rPr>
              <w:t>02</w:t>
            </w:r>
          </w:p>
        </w:tc>
        <w:tc>
          <w:tcPr>
            <w:tcW w:w="1984" w:type="dxa"/>
          </w:tcPr>
          <w:p w14:paraId="181B2309" w14:textId="77777777" w:rsidR="009224B2" w:rsidRPr="009224B2" w:rsidRDefault="009224B2" w:rsidP="009224B2">
            <w:pPr>
              <w:jc w:val="both"/>
              <w:rPr>
                <w:rFonts w:ascii="Times New Roman" w:hAnsi="Times New Roman" w:cs="Times New Roman"/>
              </w:rPr>
            </w:pPr>
            <w:r w:rsidRPr="009224B2">
              <w:rPr>
                <w:rFonts w:ascii="Times New Roman" w:hAnsi="Times New Roman" w:cs="Times New Roman"/>
              </w:rPr>
              <w:t>Įgyvendintų privalomų matomumo ir informavimo apie Europos Sąjungos fondų investicijų veiklas priemonių fiksuotoji suma, antrojo rinkinio fiksuotoji suma be PVM.</w:t>
            </w:r>
          </w:p>
          <w:p w14:paraId="1C1F164E" w14:textId="1A610C22" w:rsidR="00D548BA" w:rsidRPr="009224B2" w:rsidRDefault="00D548BA" w:rsidP="00D548BA">
            <w:pPr>
              <w:jc w:val="both"/>
              <w:rPr>
                <w:rFonts w:ascii="Times New Roman" w:eastAsia="Times New Roman" w:hAnsi="Times New Roman" w:cs="Times New Roman"/>
                <w:i/>
                <w:iCs/>
              </w:rPr>
            </w:pPr>
          </w:p>
        </w:tc>
        <w:tc>
          <w:tcPr>
            <w:tcW w:w="3828" w:type="dxa"/>
            <w:gridSpan w:val="2"/>
          </w:tcPr>
          <w:p w14:paraId="791799FF" w14:textId="1C142354" w:rsidR="006271EA" w:rsidRPr="00606ECC" w:rsidRDefault="006271EA" w:rsidP="006271EA">
            <w:pPr>
              <w:jc w:val="both"/>
              <w:rPr>
                <w:rFonts w:ascii="Times New Roman" w:hAnsi="Times New Roman" w:cs="Times New Roman"/>
              </w:rPr>
            </w:pPr>
            <w:r w:rsidRPr="00606ECC">
              <w:rPr>
                <w:rFonts w:ascii="Times New Roman" w:hAnsi="Times New Roman" w:cs="Times New Roman"/>
              </w:rPr>
              <w:t>Fiksuotąją sumą sudaro visų antrojo privalomų matomumo ir informavimo priemonių rinkinio išlaidos, kai:</w:t>
            </w:r>
          </w:p>
          <w:p w14:paraId="6E860AE9" w14:textId="25EA316D" w:rsidR="006271EA" w:rsidRPr="00606ECC" w:rsidRDefault="006271EA" w:rsidP="006271EA">
            <w:pPr>
              <w:jc w:val="both"/>
              <w:rPr>
                <w:rFonts w:ascii="Times New Roman" w:hAnsi="Times New Roman" w:cs="Times New Roman"/>
              </w:rPr>
            </w:pPr>
            <w:r w:rsidRPr="00606ECC">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finansinę paramą, gaunamą iš Europos Sąjungos;</w:t>
            </w:r>
          </w:p>
          <w:p w14:paraId="275D89B4" w14:textId="353CF9FF" w:rsidR="006271EA" w:rsidRPr="00606ECC" w:rsidRDefault="006271EA" w:rsidP="006271EA">
            <w:pPr>
              <w:jc w:val="both"/>
              <w:rPr>
                <w:rFonts w:ascii="Times New Roman" w:hAnsi="Times New Roman" w:cs="Times New Roman"/>
              </w:rPr>
            </w:pPr>
            <w:r w:rsidRPr="00606ECC">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799D598D" w14:textId="6DD54ECF" w:rsidR="006271EA" w:rsidRPr="00606ECC" w:rsidRDefault="006271EA" w:rsidP="006271EA">
            <w:pPr>
              <w:jc w:val="both"/>
              <w:rPr>
                <w:rFonts w:ascii="Times New Roman" w:hAnsi="Times New Roman" w:cs="Times New Roman"/>
              </w:rPr>
            </w:pPr>
            <w:r w:rsidRPr="00606ECC">
              <w:rPr>
                <w:rFonts w:ascii="Times New Roman" w:hAnsi="Times New Roman" w:cs="Times New Roman"/>
              </w:rPr>
              <w:t xml:space="preserve">c) kai tik pradedami fiziškai vykdyti veiksmai, susiję su fizinėmis investicijomis, arba sumontuojama nupirkta įranga, visuomenei gerai matomoje vietoje iškabinamos ilgalaikės lentelės ar informacinės lentos su </w:t>
            </w:r>
            <w:r w:rsidR="00D54CEE" w:rsidRPr="00606ECC">
              <w:rPr>
                <w:rFonts w:ascii="Times New Roman" w:hAnsi="Times New Roman" w:cs="Times New Roman"/>
              </w:rPr>
              <w:t>Europos Sąjungos</w:t>
            </w:r>
            <w:r w:rsidRPr="00606ECC">
              <w:rPr>
                <w:rFonts w:ascii="Times New Roman" w:hAnsi="Times New Roman" w:cs="Times New Roman"/>
              </w:rPr>
              <w:t xml:space="preserve"> emblema.</w:t>
            </w:r>
          </w:p>
          <w:p w14:paraId="620BA3D8" w14:textId="77777777" w:rsidR="00D54CEE" w:rsidRPr="00606ECC" w:rsidRDefault="00D54CEE" w:rsidP="006271EA">
            <w:pPr>
              <w:jc w:val="both"/>
              <w:rPr>
                <w:rFonts w:ascii="Times New Roman" w:hAnsi="Times New Roman" w:cs="Times New Roman"/>
              </w:rPr>
            </w:pPr>
          </w:p>
          <w:p w14:paraId="5A4A9E1F" w14:textId="3CCA1117" w:rsidR="00D54CEE" w:rsidRPr="00606ECC" w:rsidRDefault="00D54CEE" w:rsidP="00D54CEE">
            <w:pPr>
              <w:jc w:val="both"/>
              <w:rPr>
                <w:rFonts w:ascii="Times New Roman" w:hAnsi="Times New Roman" w:cs="Times New Roman"/>
              </w:rPr>
            </w:pPr>
            <w:r w:rsidRPr="00606ECC">
              <w:rPr>
                <w:rFonts w:ascii="Times New Roman" w:hAnsi="Times New Roman" w:cs="Times New Roman"/>
              </w:rPr>
              <w:t xml:space="preserve">Fiksuotosios sumos skelbiamos svetainėje </w:t>
            </w:r>
            <w:proofErr w:type="spellStart"/>
            <w:r w:rsidRPr="00606ECC">
              <w:rPr>
                <w:rFonts w:ascii="Times New Roman" w:hAnsi="Times New Roman" w:cs="Times New Roman"/>
              </w:rPr>
              <w:t>esinvesticijos.lt</w:t>
            </w:r>
            <w:proofErr w:type="spellEnd"/>
            <w:r w:rsidRPr="00606ECC">
              <w:rPr>
                <w:rFonts w:ascii="Times New Roman" w:hAnsi="Times New Roman" w:cs="Times New Roman"/>
              </w:rPr>
              <w:t>.</w:t>
            </w:r>
          </w:p>
          <w:p w14:paraId="7082871B" w14:textId="77777777" w:rsidR="00D54CEE" w:rsidRPr="00606ECC" w:rsidRDefault="00D54CEE" w:rsidP="00D54CEE">
            <w:pPr>
              <w:jc w:val="both"/>
              <w:rPr>
                <w:rFonts w:ascii="Times New Roman" w:hAnsi="Times New Roman" w:cs="Times New Roman"/>
              </w:rPr>
            </w:pPr>
          </w:p>
          <w:p w14:paraId="30B95243" w14:textId="180E5131" w:rsidR="00D548BA" w:rsidRPr="009224B2" w:rsidRDefault="000A3B39" w:rsidP="00D548BA">
            <w:pPr>
              <w:jc w:val="both"/>
              <w:rPr>
                <w:rFonts w:ascii="Times New Roman" w:eastAsia="Times New Roman" w:hAnsi="Times New Roman" w:cs="Times New Roman"/>
                <w:i/>
                <w:iCs/>
              </w:rPr>
            </w:pPr>
            <w:hyperlink r:id="rId13" w:history="1">
              <w:r w:rsidR="00606ECC" w:rsidRPr="00606ECC">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271EA">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1985"/>
              <w:gridCol w:w="1844"/>
              <w:gridCol w:w="2409"/>
              <w:gridCol w:w="1983"/>
            </w:tblGrid>
            <w:tr w:rsidR="00D548BA" w:rsidRPr="00F44ADD" w14:paraId="7CF26569" w14:textId="77777777" w:rsidTr="00606ECC">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606ECC">
              <w:trPr>
                <w:trHeight w:val="615"/>
              </w:trPr>
              <w:tc>
                <w:tcPr>
                  <w:tcW w:w="929" w:type="pct"/>
                  <w:shd w:val="clear" w:color="auto" w:fill="auto"/>
                  <w:vAlign w:val="center"/>
                </w:tcPr>
                <w:p w14:paraId="281A6D67" w14:textId="64C5DEF3" w:rsidR="00D548BA" w:rsidRPr="00F44ADD" w:rsidRDefault="00606ECC" w:rsidP="00D548BA">
                  <w:pPr>
                    <w:rPr>
                      <w:rFonts w:ascii="Times New Roman" w:hAnsi="Times New Roman" w:cs="Times New Roman"/>
                      <w:i/>
                      <w:iCs/>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18E3E21C" w14:textId="5A645D8F" w:rsidR="00D548BA" w:rsidRPr="00606ECC" w:rsidRDefault="00606ECC" w:rsidP="00D548BA">
                  <w:pPr>
                    <w:keepNext/>
                    <w:jc w:val="center"/>
                    <w:rPr>
                      <w:rFonts w:ascii="Times New Roman" w:hAnsi="Times New Roman" w:cs="Times New Roman"/>
                      <w:b/>
                    </w:rPr>
                  </w:pPr>
                  <w:r w:rsidRPr="00606ECC">
                    <w:rPr>
                      <w:rFonts w:ascii="Times New Roman" w:hAnsi="Times New Roman" w:cs="Times New Roman"/>
                    </w:rPr>
                    <w:t>Paramą gavusios įmonės</w:t>
                  </w:r>
                </w:p>
              </w:tc>
              <w:tc>
                <w:tcPr>
                  <w:tcW w:w="913" w:type="pct"/>
                  <w:shd w:val="clear" w:color="auto" w:fill="auto"/>
                  <w:vAlign w:val="center"/>
                </w:tcPr>
                <w:p w14:paraId="0F4EFD55" w14:textId="77777777" w:rsidR="00606ECC" w:rsidRPr="00606ECC" w:rsidRDefault="00606ECC" w:rsidP="00606ECC">
                  <w:pPr>
                    <w:keepNext/>
                    <w:jc w:val="center"/>
                    <w:rPr>
                      <w:rFonts w:ascii="Times New Roman" w:hAnsi="Times New Roman" w:cs="Times New Roman"/>
                    </w:rPr>
                  </w:pPr>
                  <w:r w:rsidRPr="00606ECC">
                    <w:rPr>
                      <w:rFonts w:ascii="Times New Roman" w:hAnsi="Times New Roman" w:cs="Times New Roman"/>
                    </w:rPr>
                    <w:t>R.B.1.2009</w:t>
                  </w:r>
                </w:p>
                <w:p w14:paraId="79660FE7" w14:textId="64595A07" w:rsidR="00D548BA" w:rsidRPr="00606ECC" w:rsidRDefault="00606ECC" w:rsidP="00606ECC">
                  <w:pPr>
                    <w:keepNext/>
                    <w:jc w:val="center"/>
                    <w:rPr>
                      <w:rFonts w:ascii="Times New Roman" w:hAnsi="Times New Roman" w:cs="Times New Roman"/>
                    </w:rPr>
                  </w:pPr>
                  <w:r w:rsidRPr="00606ECC">
                    <w:rPr>
                      <w:rFonts w:ascii="Times New Roman" w:hAnsi="Times New Roman" w:cs="Times New Roman"/>
                    </w:rPr>
                    <w:t>(R-10-001-06-01-01-06)</w:t>
                  </w:r>
                </w:p>
              </w:tc>
              <w:tc>
                <w:tcPr>
                  <w:tcW w:w="1193" w:type="pct"/>
                  <w:shd w:val="clear" w:color="auto" w:fill="auto"/>
                  <w:vAlign w:val="center"/>
                </w:tcPr>
                <w:p w14:paraId="5B7D18E9" w14:textId="72BBA26E" w:rsidR="00D548BA"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B51CF7E"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931968E" w14:textId="6C920D2E" w:rsidR="00D548BA"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13575D6B" w14:textId="77777777" w:rsidTr="00606ECC">
              <w:trPr>
                <w:trHeight w:val="615"/>
              </w:trPr>
              <w:tc>
                <w:tcPr>
                  <w:tcW w:w="929" w:type="pct"/>
                  <w:shd w:val="clear" w:color="auto" w:fill="auto"/>
                  <w:vAlign w:val="center"/>
                </w:tcPr>
                <w:p w14:paraId="27364124" w14:textId="449B9C6F"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676DC729" w14:textId="4236AA3A" w:rsidR="00606ECC" w:rsidRPr="00606ECC" w:rsidRDefault="00606ECC" w:rsidP="00D548BA">
                  <w:pPr>
                    <w:keepNext/>
                    <w:jc w:val="center"/>
                    <w:rPr>
                      <w:rFonts w:ascii="Times New Roman" w:hAnsi="Times New Roman" w:cs="Times New Roman"/>
                    </w:rPr>
                  </w:pPr>
                  <w:r w:rsidRPr="00606ECC">
                    <w:rPr>
                      <w:rFonts w:ascii="Times New Roman" w:eastAsia="Times New Roman" w:hAnsi="Times New Roman" w:cs="Times New Roman"/>
                    </w:rPr>
                    <w:t>Paramą gavusios įmonės, iš jų mažos ir labai mažos įmonės</w:t>
                  </w:r>
                </w:p>
              </w:tc>
              <w:tc>
                <w:tcPr>
                  <w:tcW w:w="913" w:type="pct"/>
                  <w:shd w:val="clear" w:color="auto" w:fill="auto"/>
                  <w:vAlign w:val="center"/>
                </w:tcPr>
                <w:p w14:paraId="1C47B9CA" w14:textId="77777777"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R.B.1.2009.1</w:t>
                  </w:r>
                </w:p>
                <w:p w14:paraId="797E5BDD" w14:textId="06AF3BF3"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(R-10-001-06-01-01-07)</w:t>
                  </w:r>
                </w:p>
              </w:tc>
              <w:tc>
                <w:tcPr>
                  <w:tcW w:w="1193" w:type="pct"/>
                  <w:shd w:val="clear" w:color="auto" w:fill="auto"/>
                  <w:vAlign w:val="center"/>
                </w:tcPr>
                <w:p w14:paraId="7F9723AB" w14:textId="02C67F10"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639A6862"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4405706" w14:textId="35A3590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43965E62" w14:textId="77777777" w:rsidTr="00606ECC">
              <w:trPr>
                <w:trHeight w:val="615"/>
              </w:trPr>
              <w:tc>
                <w:tcPr>
                  <w:tcW w:w="929" w:type="pct"/>
                  <w:shd w:val="clear" w:color="auto" w:fill="auto"/>
                  <w:vAlign w:val="center"/>
                </w:tcPr>
                <w:p w14:paraId="07FE830E" w14:textId="22BB84EC"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49F65EEA" w14:textId="1C5DC98B"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vidutinės įmonės</w:t>
                  </w:r>
                </w:p>
              </w:tc>
              <w:tc>
                <w:tcPr>
                  <w:tcW w:w="913" w:type="pct"/>
                  <w:shd w:val="clear" w:color="auto" w:fill="auto"/>
                  <w:vAlign w:val="center"/>
                </w:tcPr>
                <w:p w14:paraId="41464A4A"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R.B.1.2009.2</w:t>
                  </w:r>
                </w:p>
                <w:p w14:paraId="0BA42502" w14:textId="409CDBCA"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(R-10-001-06-01-01-08)</w:t>
                  </w:r>
                </w:p>
              </w:tc>
              <w:tc>
                <w:tcPr>
                  <w:tcW w:w="1193" w:type="pct"/>
                  <w:shd w:val="clear" w:color="auto" w:fill="auto"/>
                  <w:vAlign w:val="center"/>
                </w:tcPr>
                <w:p w14:paraId="332C63B7" w14:textId="72DDDC8A"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377AAA3D"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48FA40D7" w14:textId="77E1A6D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05DDE4B4" w14:textId="77777777" w:rsidTr="00606ECC">
              <w:trPr>
                <w:trHeight w:val="615"/>
              </w:trPr>
              <w:tc>
                <w:tcPr>
                  <w:tcW w:w="929" w:type="pct"/>
                  <w:shd w:val="clear" w:color="auto" w:fill="auto"/>
                  <w:vAlign w:val="center"/>
                </w:tcPr>
                <w:p w14:paraId="259092CC" w14:textId="0EE72309"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365C6CBC" w14:textId="03147651"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didelės įmonės</w:t>
                  </w:r>
                </w:p>
              </w:tc>
              <w:tc>
                <w:tcPr>
                  <w:tcW w:w="913" w:type="pct"/>
                  <w:shd w:val="clear" w:color="auto" w:fill="auto"/>
                  <w:vAlign w:val="center"/>
                </w:tcPr>
                <w:p w14:paraId="5C4E669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R.B.1.2009.3</w:t>
                  </w:r>
                </w:p>
                <w:p w14:paraId="12C42CDC" w14:textId="46C3B7A1"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(R-10-001-06-01-01-09)</w:t>
                  </w:r>
                </w:p>
              </w:tc>
              <w:tc>
                <w:tcPr>
                  <w:tcW w:w="1193" w:type="pct"/>
                  <w:shd w:val="clear" w:color="auto" w:fill="auto"/>
                  <w:vAlign w:val="center"/>
                </w:tcPr>
                <w:p w14:paraId="0AF9AF1E" w14:textId="44629A09"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26C9BD21"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27BFD868" w14:textId="246951C3"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3313E6D4" w14:textId="77777777" w:rsidTr="00606ECC">
              <w:trPr>
                <w:trHeight w:val="615"/>
              </w:trPr>
              <w:tc>
                <w:tcPr>
                  <w:tcW w:w="929" w:type="pct"/>
                  <w:shd w:val="clear" w:color="auto" w:fill="auto"/>
                  <w:vAlign w:val="center"/>
                </w:tcPr>
                <w:p w14:paraId="542190C0" w14:textId="5437C6D1"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26BAE673" w14:textId="11A4154F"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Įsigytų ir Lietuvoje registruotų netaršių transporto priemonių skaičius</w:t>
                  </w:r>
                </w:p>
              </w:tc>
              <w:tc>
                <w:tcPr>
                  <w:tcW w:w="913" w:type="pct"/>
                  <w:shd w:val="clear" w:color="auto" w:fill="auto"/>
                  <w:vAlign w:val="center"/>
                </w:tcPr>
                <w:p w14:paraId="51ACA66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 xml:space="preserve"> P.S.1.1032</w:t>
                  </w:r>
                </w:p>
                <w:p w14:paraId="6B27954E" w14:textId="6779CD4F"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(P-10-001-06-01-01-03)</w:t>
                  </w:r>
                </w:p>
              </w:tc>
              <w:tc>
                <w:tcPr>
                  <w:tcW w:w="1193" w:type="pct"/>
                  <w:shd w:val="clear" w:color="auto" w:fill="auto"/>
                  <w:vAlign w:val="center"/>
                </w:tcPr>
                <w:p w14:paraId="6897AEC5" w14:textId="15BC2782"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193F8E3" w14:textId="77777777" w:rsidR="005A5D63" w:rsidRPr="005A5D63" w:rsidRDefault="005A5D63" w:rsidP="005A5D63">
                  <w:pPr>
                    <w:keepNext/>
                    <w:jc w:val="center"/>
                    <w:rPr>
                      <w:rFonts w:ascii="Times New Roman" w:hAnsi="Times New Roman" w:cs="Times New Roman"/>
                      <w:bCs/>
                    </w:rPr>
                  </w:pPr>
                  <w:r w:rsidRPr="005A5D63">
                    <w:rPr>
                      <w:rFonts w:ascii="Times New Roman" w:hAnsi="Times New Roman" w:cs="Times New Roman"/>
                      <w:bCs/>
                    </w:rPr>
                    <w:t>Ne mažiau kaip 200 vnt. N2 klasės</w:t>
                  </w:r>
                </w:p>
                <w:p w14:paraId="1E18A8E4" w14:textId="23C68662" w:rsidR="00606ECC" w:rsidRPr="00606ECC" w:rsidRDefault="005A5D63" w:rsidP="005A5D63">
                  <w:pPr>
                    <w:keepNext/>
                    <w:jc w:val="center"/>
                    <w:rPr>
                      <w:rFonts w:ascii="Times New Roman" w:hAnsi="Times New Roman" w:cs="Times New Roman"/>
                      <w:bCs/>
                    </w:rPr>
                  </w:pPr>
                  <w:r w:rsidRPr="005A5D63">
                    <w:rPr>
                      <w:rFonts w:ascii="Times New Roman" w:hAnsi="Times New Roman" w:cs="Times New Roman"/>
                      <w:bCs/>
                    </w:rPr>
                    <w:t xml:space="preserve">(2026 m. II </w:t>
                  </w:r>
                  <w:proofErr w:type="spellStart"/>
                  <w:r w:rsidRPr="005A5D63">
                    <w:rPr>
                      <w:rFonts w:ascii="Times New Roman" w:hAnsi="Times New Roman" w:cs="Times New Roman"/>
                      <w:bCs/>
                    </w:rPr>
                    <w:t>k</w:t>
                  </w:r>
                  <w:r w:rsidR="008F4688">
                    <w:rPr>
                      <w:rFonts w:ascii="Times New Roman" w:hAnsi="Times New Roman" w:cs="Times New Roman"/>
                      <w:bCs/>
                    </w:rPr>
                    <w:t>et</w:t>
                  </w:r>
                  <w:r w:rsidRPr="005A5D63">
                    <w:rPr>
                      <w:rFonts w:ascii="Times New Roman" w:hAnsi="Times New Roman" w:cs="Times New Roman"/>
                      <w:bCs/>
                    </w:rPr>
                    <w:t>v</w:t>
                  </w:r>
                  <w:proofErr w:type="spellEnd"/>
                  <w:r w:rsidRPr="005A5D63">
                    <w:rPr>
                      <w:rFonts w:ascii="Times New Roman" w:hAnsi="Times New Roman" w:cs="Times New Roman"/>
                      <w:bCs/>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16BA10E5" w14:textId="77777777" w:rsidR="004E0CB2" w:rsidRDefault="00F11C68"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F11C68">
              <w:rPr>
                <w:rFonts w:ascii="Times New Roman" w:hAnsi="Times New Roman" w:cs="Times New Roman"/>
                <w:iCs/>
              </w:rPr>
              <w:t>Pagal Aprašą finansuojama veikla – naujų visai netaršių sunkiasvorių (N2 klasės) transporto priemonių, varomų elektra ir (ar) vandeniliu, įsigijimas.</w:t>
            </w:r>
          </w:p>
          <w:p w14:paraId="521C6F70"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projektui teikiama valstybės pagalba, kaip ji apibrėžta Sutarties dėl Europos Sąjungos veikimo 107 straipsnyje. Finansavimas skiriamas kaip valstybės pagalba, kuri teikiama pagal Reglamento (ES) Nr. 651/2014 36b straipsnį. Visai netaršiai sunkiojo transporto priemonei įsigyti tinkamas finansavimas yra papildomos investicinės išlaidos, būtinos siekiant taikyti griežtesnius standartus, nei taikomi Europos Sąjungoje, apskaičiuojamos kaip visai netaršios transporto priemonės įsigijimo investicinių išlaidų ir tos pačios klasės transporto priemonės, kuri atitinka Europos Sąjungos standartus ir būtų įsigyta be pagalbos, įsigijimo investicinių išlaidų skirtumas (Reglamento (ES) Nr. 651/2014 36b straipsnio 3 dalies a punktas). Didžiausia galima projekto finansuojama dalis negali sudaryti daugiau kaip 30 proc. didelėms, 50 proc. vidutinėms ir 60 proc. mažoms įmonėms tinkamų finansuoti išlaidų.</w:t>
            </w:r>
          </w:p>
          <w:p w14:paraId="4E957AFF"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Vienai įsigyjamai visai netaršiai N2 klasės sunkiojo transporto priemonei pagal Aprašą finansuojama suma negali viršyti</w:t>
            </w:r>
            <w:r>
              <w:rPr>
                <w:rFonts w:ascii="Times New Roman" w:hAnsi="Times New Roman" w:cs="Times New Roman"/>
                <w:iCs/>
              </w:rPr>
              <w:t xml:space="preserve"> </w:t>
            </w:r>
            <w:r w:rsidRPr="004E0CB2">
              <w:rPr>
                <w:rFonts w:ascii="Times New Roman" w:hAnsi="Times New Roman" w:cs="Times New Roman"/>
                <w:iCs/>
              </w:rPr>
              <w:t>12 000 (dvylika tūkstančių) eurų. Dotacijos vieno pareiškėjo vienam investiciniam projektui dydis negali viršyti 300 000 (trijų šimtų tūkstančių) eurų. Projektui skiriamos finansavimo lėšos yra valstybės pagalba, kurios dydis nustatomas pagal Aprašo 2.5 papunkčio nuostatą. Finansavimo intensyvumas nustatomas kaip skirto finansavimo santykis su projekto tinkamų finansuoti išlaidų suma. Projektui skirtų finansavimo išlaidų suma išmokama pagal projekto sutartyje nustatytą finansavimo intensyvumą.</w:t>
            </w:r>
          </w:p>
          <w:p w14:paraId="14514977" w14:textId="02C02CBB"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 xml:space="preserve">Visai netaršios sunkiojo transporto priemonės įsigyjamos lizingo būdu, vadovaujantis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nustatyta tvarka, nepažeidžiant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298</w:t>
            </w:r>
            <w:r w:rsidR="0029570A">
              <w:rPr>
                <w:rFonts w:ascii="Times New Roman" w:hAnsi="Times New Roman" w:cs="Times New Roman"/>
                <w:iCs/>
                <w:vertAlign w:val="superscript"/>
              </w:rPr>
              <w:t>1</w:t>
            </w:r>
            <w:r w:rsidRPr="004E0CB2">
              <w:rPr>
                <w:rFonts w:ascii="Times New Roman" w:hAnsi="Times New Roman" w:cs="Times New Roman"/>
                <w:iCs/>
              </w:rPr>
              <w:t xml:space="preserve">  punkte nustatyto termino.</w:t>
            </w:r>
          </w:p>
          <w:p w14:paraId="2AB0B1CB"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dotacija už visai netaršią sunkiojo transporto priemonę, kurios identifikavimo numeris yra tas pats, gali būti skiriama tik vieną kartą. Tuo atveju, jei skirta dotacija buvo sugrąžinta, laikoma, kad dotacija už transporto priemonę nebuvo išmokėta. Pareiškėjas, įsigydamas visai netaršią sunkiojo transporto priemonę, turi įsitikinti, ar už transporto priemonę nebuvo suteikta dotacija.</w:t>
            </w:r>
          </w:p>
          <w:p w14:paraId="30363B8C" w14:textId="77777777" w:rsidR="004E0CB2" w:rsidRDefault="00694D24"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694D24">
              <w:rPr>
                <w:rFonts w:ascii="Times New Roman" w:hAnsi="Times New Roman" w:cs="Times New Roman"/>
                <w:iCs/>
              </w:rPr>
              <w:t>Finansavimas neteikiamas projektams, vykdomiems ne Lietuvos Respublikos teritorijoje.</w:t>
            </w:r>
          </w:p>
          <w:p w14:paraId="7DFB177D" w14:textId="41B080B9" w:rsidR="00694D24"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projektų įgyvendinimo plano (toliau – PĮP) pateikimo metu. Pakankamai apibrėžtais, patikimais ir tinkamais nuosavų lėšų finansavimo šaltiniais gali būti laikoma</w:t>
            </w:r>
            <w:r>
              <w:rPr>
                <w:rFonts w:ascii="Times New Roman" w:hAnsi="Times New Roman" w:cs="Times New Roman"/>
                <w:iCs/>
              </w:rPr>
              <w:t>:</w:t>
            </w:r>
          </w:p>
          <w:p w14:paraId="62F44B09" w14:textId="5F166A8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viešosios įstaigos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1AF77B34" w14:textId="02F68620"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DB658F">
              <w:rPr>
                <w:rFonts w:ascii="Times New Roman" w:hAnsi="Times New Roman" w:cs="Times New Roman"/>
                <w:iCs/>
              </w:rPr>
              <w:t>ios</w:t>
            </w:r>
            <w:proofErr w:type="spellEnd"/>
            <w:r w:rsidRPr="00DB658F">
              <w:rPr>
                <w:rFonts w:ascii="Times New Roman" w:hAnsi="Times New Roman" w:cs="Times New Roman"/>
                <w:iCs/>
              </w:rPr>
              <w:t>) teisę priimti tokius sprendimus, kuriuo nutarta projektui įgyvendinti skirti tam tikrą lėšų sumą, ir informacija apie lėšų šaltinį (kredito įstaigos sąskaitos (-ų) išrašas ar kredito įstaigos pažyma apie pareiškėjo turimas lėšas, numatomos pajamos, pelnas, nepaskirstytini rezervai ar kt.).</w:t>
            </w:r>
          </w:p>
          <w:p w14:paraId="0162908F"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PĮP teikiami, vertinami ir atrenkami vadovaujantis Projektų</w:t>
            </w:r>
            <w:r>
              <w:t xml:space="preserve">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 xml:space="preserve">inansavimo taisyklių III skyriaus antrojo skirsnio nuostatomis, kvietime teikti PĮP nustatyta tvarka. Jeigu CPVA dėl objektyvių priežasčių (pvz., trečiųjų šalių veika, elektroninės sistemos </w:t>
            </w:r>
            <w:r w:rsidRPr="00DB658F">
              <w:rPr>
                <w:rFonts w:ascii="Times New Roman" w:hAnsi="Times New Roman" w:cs="Times New Roman"/>
                <w:iCs/>
              </w:rPr>
              <w:lastRenderedPageBreak/>
              <w:t>trukdžiai, atsiradusi būtinybė keisti teisės aktus bei kitos nuo CPVA nepriklausančios aplinkybės) negali PĮP įvertinti per nustatytą terminą, vertinimo terminas gali būti pratęstas CPVA sprendimu.</w:t>
            </w:r>
          </w:p>
          <w:p w14:paraId="2C59204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 xml:space="preserve">Vienas pareiškėjas vieno kvietimo teikti PĮP metu gali pateikti tik vieną PĮP, parengtą pagal Projektų administravimo ir </w:t>
            </w:r>
            <w:r>
              <w:rPr>
                <w:rFonts w:ascii="Times New Roman" w:hAnsi="Times New Roman" w:cs="Times New Roman"/>
                <w:iCs/>
              </w:rPr>
              <w:t>f</w:t>
            </w:r>
            <w:r w:rsidRPr="00DB658F">
              <w:rPr>
                <w:rFonts w:ascii="Times New Roman" w:hAnsi="Times New Roman" w:cs="Times New Roman"/>
                <w:iCs/>
              </w:rPr>
              <w:t>inansavimo taisyklių 1 priedą. Vienu PĮP teikiamų įsigyti visai netaršių sunkiojo transporto priemonių skaičius nėra ribojamas.</w:t>
            </w:r>
          </w:p>
          <w:p w14:paraId="2317F5D1"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yra tiesiogiai atsakingas už projekto parengimą, įgyvendinimą, rezultatus ir turi užtikrinti, kad įsigytos visai netaršios sunkiojo transporto priemonės 5 metus po projekto finansavimo pabaigos būtų naudojamos Lietuvos Respublikos teritorijoje.</w:t>
            </w:r>
          </w:p>
          <w:p w14:paraId="6356DD2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atsakingas, kad įsigyta visai netarši sunkiojo transporto priemonė būtų įregistruota valstybės įmonėje „Regitra“.</w:t>
            </w:r>
          </w:p>
          <w:p w14:paraId="0421A95B"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Projektų įgyvendinimo reikalavimai:</w:t>
            </w:r>
          </w:p>
          <w:p w14:paraId="30008C19" w14:textId="2990F388"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projektas įgyvendinamas pagal projekto sutartyje, Apraše ir Projektų administravimo ir </w:t>
            </w:r>
            <w:r>
              <w:rPr>
                <w:rFonts w:ascii="Times New Roman" w:hAnsi="Times New Roman" w:cs="Times New Roman"/>
                <w:iCs/>
              </w:rPr>
              <w:t>f</w:t>
            </w:r>
            <w:r w:rsidRPr="00DB658F">
              <w:rPr>
                <w:rFonts w:ascii="Times New Roman" w:hAnsi="Times New Roman" w:cs="Times New Roman"/>
                <w:iCs/>
              </w:rPr>
              <w:t>inansavimo taisyklėse nustatytus reikalavimus;</w:t>
            </w:r>
          </w:p>
          <w:p w14:paraId="206A7675" w14:textId="66273B9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pareiškėjas turi įgyvendinti privalomus matomumo ir informavimo reikalavimus, numatytus Projektų administravimo ir </w:t>
            </w:r>
            <w:r>
              <w:rPr>
                <w:rFonts w:ascii="Times New Roman" w:hAnsi="Times New Roman" w:cs="Times New Roman"/>
                <w:iCs/>
              </w:rPr>
              <w:t>f</w:t>
            </w:r>
            <w:r w:rsidRPr="00DB658F">
              <w:rPr>
                <w:rFonts w:ascii="Times New Roman" w:hAnsi="Times New Roman" w:cs="Times New Roman"/>
                <w:iCs/>
              </w:rPr>
              <w:t>inansavimo taisyklių VIII skyriaus pirmajame skirsnyje;</w:t>
            </w:r>
          </w:p>
          <w:p w14:paraId="5C0455CE" w14:textId="14E96B56" w:rsidR="00DB658F"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pareiškėjas privalo užtikrinti, kad visi su projekto įgyvendinimu susiję pirkimai būtų vykdomi vadovaujantis pirkimų vykdymo ir vertinimo tvarka, nustatyta Projektų</w:t>
            </w:r>
            <w:r w:rsidR="00C83601">
              <w:rPr>
                <w:rFonts w:ascii="Times New Roman" w:hAnsi="Times New Roman" w:cs="Times New Roman"/>
                <w:iCs/>
              </w:rPr>
              <w:t xml:space="preserve"> </w:t>
            </w:r>
            <w:r w:rsidR="00C83601" w:rsidRPr="00A73363">
              <w:rPr>
                <w:rFonts w:ascii="Times New Roman" w:hAnsi="Times New Roman" w:cs="Times New Roman"/>
              </w:rPr>
              <w:t>administravimo ir finansavimo</w:t>
            </w:r>
            <w:r w:rsidRPr="00AE31E7">
              <w:rPr>
                <w:rFonts w:ascii="Times New Roman" w:hAnsi="Times New Roman" w:cs="Times New Roman"/>
                <w:iCs/>
              </w:rPr>
              <w:t xml:space="preserve"> taisyklių 7 priede; Energijos vartojimo efektyvumo ir aplinkos apsaugos reikalavimų, taikomų įsigyjant kelių transporto priemones, nustatymo ir atvejų, kada juos privaloma taikyti, tvarkos aprašu, patvirtintu Lietuvos Respublikos susisiekimo ministro 2011 m. vasario 21 d. įsakymu Nr. 3-100 „Dėl Energijos vartojimo efektyvumo ir aplinkos apsaugos reikalavimų, taikomų įsigyjant kelių transporto priemones, nustatymo ir atvejų, kada juos privaloma taikyti, tvarkos aprašo patvirtinimo“; transporto priemonės įsigyjamos iš tiekėjų ir (arba) gamintojų, kuriems netaikomos Lietuvos Respublikoje įgyvendinamos tarptautinės sankcijos, kaip tai apibrėžta Lietuvos Respublikos tarptautinių sankcijų įstatyme;</w:t>
            </w:r>
          </w:p>
          <w:p w14:paraId="243C7655" w14:textId="1D6E225B"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prisidėti prie Reglamento (ES) 2021/2106 priede nustatyto 9 bendrojo rodiklio „Paramą gavusių įmonių (iš kurių mažosios, įskaitant labai mažas, vidutinės ir didelės) skaičius“;</w:t>
            </w:r>
          </w:p>
          <w:p w14:paraId="24AD4D95" w14:textId="49FD82AD"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projekto veiklos turi šalinti Susisiekimo plėtros programoje nustatytą problemos „Transporto sektorius generuoja didžiausią šiltnamio efektą sukeliančių dujų (ŠESD) ir transportui būdingų oro teršalų dalį Lietuvoje“ priežastį – trūksta alternatyvių netaršių transporto priemonių keleiviams ir kroviniams vežti;</w:t>
            </w:r>
          </w:p>
          <w:p w14:paraId="784FF57C" w14:textId="279F7D00"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atitikti plano „Naujos kartos Lietuva“ reformos „Judame neteršdami aplinkos“ tikslą – reikšmingai sumažinti išmetamų ŠESD kiekį, laipsniškai atsisakant labiausiai teršiančių kelių transporto priemonių miestuose ir regionuose ir padidinant atsinaujinančių energijos išteklių dalį transporto sektoriuje.</w:t>
            </w:r>
          </w:p>
          <w:p w14:paraId="5EF9AD76" w14:textId="1E428A19" w:rsidR="00DB658F"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Pagal Aprašą teikiamo projekto veiklų įgyvendinimo trukmė negali būti ilgesnė kaip 24 mėnesiai nuo projekto sutarties pasirašymo dienos. Tam tikrais</w:t>
            </w:r>
            <w:r>
              <w:rPr>
                <w:rFonts w:ascii="Times New Roman" w:hAnsi="Times New Roman" w:cs="Times New Roman"/>
                <w:iCs/>
              </w:rPr>
              <w:t xml:space="preserve"> </w:t>
            </w:r>
            <w:r w:rsidRPr="00AE31E7">
              <w:rPr>
                <w:rFonts w:ascii="Times New Roman" w:hAnsi="Times New Roman" w:cs="Times New Roman"/>
                <w:iCs/>
              </w:rPr>
              <w:t xml:space="preserve">atvejais dėl objektyvių priežasčių, kurių pareiškėjas negalėjo numatyti PĮP pateikimo ir vertinimo metu, projekto įgyvendinimo trukmė gali būti pratęsta CPVA sprendimu Projektu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inansavimo</w:t>
            </w:r>
            <w:r w:rsidRPr="00AE31E7">
              <w:rPr>
                <w:rFonts w:ascii="Times New Roman" w:hAnsi="Times New Roman" w:cs="Times New Roman"/>
                <w:iCs/>
              </w:rPr>
              <w:t xml:space="preserve"> taisyklių nustatyta tvarka, nepažeidžiant Aprašo 12.</w:t>
            </w:r>
            <w:r>
              <w:rPr>
                <w:rFonts w:ascii="Times New Roman" w:hAnsi="Times New Roman" w:cs="Times New Roman"/>
                <w:iCs/>
              </w:rPr>
              <w:t>3</w:t>
            </w:r>
            <w:r w:rsidRPr="00AE31E7">
              <w:rPr>
                <w:rFonts w:ascii="Times New Roman" w:hAnsi="Times New Roman" w:cs="Times New Roman"/>
                <w:iCs/>
              </w:rPr>
              <w:t xml:space="preserve"> papunktyje nustatyto termino</w:t>
            </w:r>
            <w:r>
              <w:rPr>
                <w:rFonts w:ascii="Times New Roman" w:hAnsi="Times New Roman" w:cs="Times New Roman"/>
                <w:iCs/>
              </w:rPr>
              <w:t>.</w:t>
            </w:r>
          </w:p>
          <w:p w14:paraId="3B7F02C4"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Siekiant užtikrint atitiktį Reglamento (ES) Nr. 651/2014 6 straipsnio nuostatoms, projekto veiklos gali būti pradėtos įgyvendinti tik pateikus (užregistravus) PĮP CPVA, tačiau projekto išlaidos nuo PĮP įregistravimo CPVA dienos iki projekto sutarties pasirašymo yra patiriamos pareiškėjo rizika. Projektui, kurio veiklos pradėtos įgyvendinti iki PĮP įregistravimo CPVA dienos, finansavimas neskiriamas.</w:t>
            </w:r>
          </w:p>
          <w:p w14:paraId="3FD3CED1"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lastRenderedPageBreak/>
              <w:t>Pagal Aprašą finansavimas nėra skiriamas projektui, jeigu pareiškėjas yra įtrauktas į Finansinių nusikaltimų tyrimo tarnybos prie Lietuvos Respublikos vidaus reikalų ministerijos interneto svetainėje skelbiamą fizinių ir (arba) juridinių asmenų, turinčių sąsajas su subjektais, kuriems taikomos tarptautinės sankcijos, sąrašą.</w:t>
            </w:r>
          </w:p>
          <w:p w14:paraId="19A0F9C5"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Įgyvendinant pagal Aprašą finansuojamą veiklą, turi būti įsigyta visai netaršių sunkiojo transporto priemonių (N2 klasės), kurioms (kiekvienai) taikomi šie reikalavimai:</w:t>
            </w:r>
          </w:p>
          <w:p w14:paraId="78F3CD64" w14:textId="5DFE343C" w:rsidR="0015423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įsigyjama nauja visai netarši sunkiojo transporto priemonė – 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kaip 2023 m. rugsėjo 1 d.;</w:t>
            </w:r>
          </w:p>
          <w:p w14:paraId="0721A4A2" w14:textId="77777777" w:rsidR="0015423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įsigytos visai netaršios sunkiojo transporto priemonės turi būti įregistruotos Lietuvos Respublikoje.</w:t>
            </w:r>
          </w:p>
          <w:p w14:paraId="31C64C8E" w14:textId="044068E0" w:rsidR="00CF7635" w:rsidRPr="00CF7635" w:rsidRDefault="00901217" w:rsidP="009004C0">
            <w:pPr>
              <w:pStyle w:val="ListParagraph"/>
              <w:numPr>
                <w:ilvl w:val="0"/>
                <w:numId w:val="26"/>
              </w:numPr>
              <w:spacing w:before="120" w:after="120"/>
              <w:jc w:val="both"/>
              <w:rPr>
                <w:rFonts w:ascii="Times New Roman" w:hAnsi="Times New Roman" w:cs="Times New Roman"/>
                <w:iCs/>
              </w:rPr>
            </w:pPr>
            <w:r w:rsidRPr="00901217">
              <w:rPr>
                <w:rFonts w:ascii="Times New Roman" w:hAnsi="Times New Roman" w:cs="Times New Roman"/>
                <w:iCs/>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083DF6EE" w14:textId="77777777" w:rsidR="00D548BA"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ir atsižvelgiama į Jungtinių Tautų neįgaliųjų teisių konvencijos nuostatas. Neturi būti numatyta projekto įgyvendinimo veiksmų, kurie turėtų neigiamą poveikį įgyvendinant HP.</w:t>
            </w:r>
          </w:p>
          <w:p w14:paraId="46F60D2D" w14:textId="7C285CB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18A45E00" w14:textId="7FFE2921"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universalaus dizaino principo įgyvendinimo, t. y. PĮP pagrindžiama, kaip įsigytos visai netaršios sunkiojo transporto priemonės atitiks visų visuomenės grupių poreikius.</w:t>
            </w:r>
          </w:p>
          <w:p w14:paraId="6E430673"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5937E9D"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p w14:paraId="3A652628" w14:textId="22367420" w:rsidR="00786CAF"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Turi būti užtikrinama, kad finansuojam</w:t>
            </w:r>
            <w:r>
              <w:rPr>
                <w:rFonts w:ascii="Times New Roman" w:hAnsi="Times New Roman" w:cs="Times New Roman"/>
              </w:rPr>
              <w:t>a</w:t>
            </w:r>
            <w:r w:rsidRPr="00786CAF">
              <w:rPr>
                <w:rFonts w:ascii="Times New Roman" w:hAnsi="Times New Roman" w:cs="Times New Roman"/>
              </w:rPr>
              <w:t xml:space="preserve"> veikl</w:t>
            </w:r>
            <w:r>
              <w:rPr>
                <w:rFonts w:ascii="Times New Roman" w:hAnsi="Times New Roman" w:cs="Times New Roman"/>
              </w:rPr>
              <w:t>a</w:t>
            </w:r>
            <w:r w:rsidRPr="00786CAF">
              <w:rPr>
                <w:rFonts w:ascii="Times New Roman" w:hAnsi="Times New Roman" w:cs="Times New Roman"/>
              </w:rPr>
              <w:t xml:space="preserve"> nepažei</w:t>
            </w:r>
            <w:r>
              <w:rPr>
                <w:rFonts w:ascii="Times New Roman" w:hAnsi="Times New Roman" w:cs="Times New Roman"/>
              </w:rPr>
              <w:t>s</w:t>
            </w:r>
            <w:r w:rsidRPr="00786CAF">
              <w:rPr>
                <w:rFonts w:ascii="Times New Roman" w:hAnsi="Times New Roman" w:cs="Times New Roman"/>
              </w:rPr>
              <w:t xml:space="preserve"> Chartijos pagrindinių teisių: orumo; asmenų, privataus ir šeimos gyvenimo, sąžinės ir saviraiškos laisvės; asmens duomenų; prieglobsčio ir apsaugos perkėlimo, išsiuntimo ar išdavimo atveju;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2DEFC73D" w:rsidR="00786CAF" w:rsidRPr="006E1AE0"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Įgyvendinant projekto veiklas negali būti pažeista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332383E9"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Po projekto finansavimo pabaigos 5 metus turi būti užtikrintas investicijų tęstinumas Projektų</w:t>
            </w:r>
            <w:r>
              <w:t xml:space="preserve"> </w:t>
            </w:r>
            <w:r w:rsidRPr="00656C8B">
              <w:rPr>
                <w:rFonts w:ascii="Times New Roman" w:hAnsi="Times New Roman" w:cs="Times New Roman"/>
              </w:rPr>
              <w:t>administravimo ir finansavimo taisyklių IV skyriaus dešimtajame skirsnyje nustatyta tvarka.</w:t>
            </w:r>
            <w:r w:rsidR="00D548BA" w:rsidRPr="00656C8B">
              <w:rPr>
                <w:rFonts w:ascii="Times New Roman" w:hAnsi="Times New Roman" w:cs="Times New Roman"/>
              </w:rPr>
              <w:t xml:space="preserve"> </w:t>
            </w:r>
          </w:p>
          <w:p w14:paraId="0FE4F796"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31C64C9A" w14:textId="19177864" w:rsidR="00656C8B" w:rsidRP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užtikrinti, kad ilgalaikis materialusis turtas, kuris įsigytas ar sukurtas iš projektui skirtų lėšų, būtų naudojamas ir prižiūrimas vadovaujantis gamintojo rekomendacijomis per visą Aprašo 11.1 papunktyje nurodytą laikotarpį.</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1A30BE77" w14:textId="77777777" w:rsidR="00E33BE5" w:rsidRDefault="00E33BE5" w:rsidP="003653E2">
            <w:pPr>
              <w:jc w:val="both"/>
              <w:rPr>
                <w:rFonts w:ascii="Times New Roman" w:hAnsi="Times New Roman" w:cs="Times New Roman"/>
                <w:i/>
                <w:iCs/>
              </w:rPr>
            </w:pPr>
          </w:p>
          <w:p w14:paraId="731F3BED" w14:textId="7207395E" w:rsidR="00D548BA" w:rsidRPr="00E33BE5" w:rsidRDefault="00E33BE5" w:rsidP="003653E2">
            <w:pPr>
              <w:jc w:val="both"/>
              <w:rPr>
                <w:rFonts w:ascii="Times New Roman" w:hAnsi="Times New Roman" w:cs="Times New Roman"/>
              </w:rPr>
            </w:pPr>
            <w:r w:rsidRPr="00E33BE5">
              <w:rPr>
                <w:rFonts w:ascii="Times New Roman" w:hAnsi="Times New Roman" w:cs="Times New Roman"/>
              </w:rPr>
              <w:t>Projekto veiklos turi būti baigtos vykdyti iki 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739ECAF7" w14:textId="0F0A9A37" w:rsidR="00D548BA"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Pagal Aprašą projektams teikiama valstybės pagalba, kaip ji apibrėžta Sutarties dėl Europos Sąjungos veikimo 107 straipsnyje. Finansavimas, skiriamas kaip valstybės pagalba projektams, yra investicinė pagalba, kuri teikiama pagal Reglamento (ES) Nr. 651/2014 36b straipsnį, atsižvelgiant į I skyriaus nuostatas bei 1 straipsnio 2–5 dalyse nustatytus apribojimus. Aprašas nustato valstybės pagalbos visai netaršios sunkiojo transporto priemonės (nulinės taršos) įsigijimo reikalavimų sąlygas, kurios atitinka Reglamento (ES) Nr. 651/2014 nuostatas ir yra suderinamos su vidaus rinka.</w:t>
            </w:r>
          </w:p>
          <w:p w14:paraId="0744739A" w14:textId="77777777" w:rsid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Didžiausia galima projektui skirti finansavimo lėšų suma nurodyta Aprašo 2.5 ir 2.6 papunkčiuose.</w:t>
            </w:r>
          </w:p>
          <w:p w14:paraId="69440949"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neteikiama:</w:t>
            </w:r>
          </w:p>
          <w:p w14:paraId="555E1543" w14:textId="45539AE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sunkumų patiriančioms įmonėms;</w:t>
            </w:r>
          </w:p>
          <w:p w14:paraId="0AC5B81D" w14:textId="2796A98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kuriems išduotas vykdomasis raštas sumoms išieškoti pagal ankstesnį Europos Komisijos sprendimą, kuriame Lietuvos institucijų suteikta pagalba skelbiama neteisėta ir nesuderinama su vidaus rinka; nauja valstybės pagalba negali būti teikiama, iki nebus sugrąžinta neteisėta ir nesuderinama su vidaus rinka Lietuvoje gauta valstybės pagalba;</w:t>
            </w:r>
          </w:p>
          <w:p w14:paraId="3956B93D" w14:textId="168E3DD9"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vykdantiems veiklą žuvininkystės ir akvakultūros sektoriuje, patenkantiems į Reglamento (ES) Nr. 651/2014 1 straipsnio 3 dalies a punkto taikymo sritį;</w:t>
            </w:r>
          </w:p>
          <w:p w14:paraId="6B9E501A" w14:textId="41363B4A"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pagalbos suteikimas būtų susietas su įpareigojimu pagalbos gavėjui turėti būstinę Lietuvoje arba būti iš esmės įsisteigusiam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4070726F" w14:textId="70D0035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ji neturi skatinamojo poveikio, nustatyto Reglamento (ES) Nr. 651/2014 6 straipsnyje.</w:t>
            </w:r>
          </w:p>
          <w:p w14:paraId="6667E922"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Reglamento (ES) Nr. 651/2014 specialiosios III skyriaus sąlygos nustatytos 36b straipsnyje.</w:t>
            </w:r>
          </w:p>
          <w:p w14:paraId="2C4CE96D"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kurios tinkamas finansuoti išlaidas galima nustatyti ir kuriai pagal Reglamentą (ES) Nr. 651/2014 taikoma išimtis, gali būti sumuojama su:</w:t>
            </w:r>
          </w:p>
          <w:p w14:paraId="3BEC8476" w14:textId="5D75C270"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jei tos veiklos yra susijusios su skirtingomis tinkamomis finansuoti išlaidomis, kurias galima nustatyti;</w:t>
            </w:r>
          </w:p>
          <w:p w14:paraId="6D15BC64" w14:textId="5D1A1F6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susijusia su tomis pačiomis tinkamomis finansuoti išlaidomis, kurios iš dalies arba visiškai sutampa, tik jeigu taip susumavus, didžiausia pagalbos suma visai netaršioms sunkiojo transporto priemonėms įsigyti neviršija Reglamento (ES) Nr. 651/2014 36b straipsnio 6 ir (arba) 7 dalyse nustatyto intensyvumo.</w:t>
            </w:r>
          </w:p>
          <w:p w14:paraId="0274DAC3"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 xml:space="preserve">Valstybės pagalba, kuriai pagal Reglamentą (ES) Nr. 651/2014 taikoma išimtis, nesumuojama su jokia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w:t>
            </w:r>
          </w:p>
          <w:p w14:paraId="537D32CC"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Apskaičiuojant pagalbos intensyvumą ir tinkamas finansuoti išlaidas, visi naudojami skaičiai imami prieš bet kokį mokesčių ar kitokios rinkliavos atskaitymą (Reglamento (ES) Nr. 651/2014 7 straipsnio 1 dalis).</w:t>
            </w:r>
          </w:p>
          <w:p w14:paraId="09B7078F"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Ateityje mokėtina valstybės pagalba, įskaitant keliomis dalimis mokamą pagalbą, diskontuojama iki suteikimo momentu esamos jos vertės, kaip numatyta Reglamento (ES) Nr. 651/2014 7 straipsnio 3 dalyje.</w:t>
            </w:r>
          </w:p>
          <w:p w14:paraId="5F7AD645"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lastRenderedPageBreak/>
              <w:t xml:space="preserve">Valstybės pagalbos atitikties Reglamento (ES) Nr. 651/2014 nuostatoms vertinimą atlieka CPVA pagal Projektų atitikties valstybės pagalbos taisyklėms patikros lape (Aprašo 2 priedas) nurodytus vertinimo kriterijus. Ministerija, priėmusi sprendimą finansuoti projektą, per 20 darbo dienų duomenis registruoja Suteiktos valstybės pagalbos ir nereikšmingos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pagalbos registre.</w:t>
            </w:r>
          </w:p>
          <w:p w14:paraId="3581EBF7"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vadovaudamasi Reglamento (ES) Nr. 651/2014 9 straipsnio 1 dalies c punkto nuostatomis ir CPVA pateikta informacija, informaciją apie suteiktą valstybės pagalbą turi paskelbti Europos Komisijos valstybės pagalbos skaidrumo viešos paieškos svetainėje (https://webgate.ec.europa.eu/competition/transparency/) ne vėliau kaip per 6 mėnesius nuo pagalbos suteikimo dienos.</w:t>
            </w:r>
          </w:p>
          <w:p w14:paraId="3FA46E7A"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Draudžiama dirbtinai skaidyti pagalbos schemas arba pagalbos projektus, kaip numatyta Reglamento (ES) Nr. 651/2014 4 straipsnio</w:t>
            </w:r>
            <w:r>
              <w:rPr>
                <w:rFonts w:ascii="Times New Roman" w:hAnsi="Times New Roman" w:cs="Times New Roman"/>
              </w:rPr>
              <w:t xml:space="preserve"> </w:t>
            </w:r>
            <w:r w:rsidRPr="00CF7635">
              <w:rPr>
                <w:rFonts w:ascii="Times New Roman" w:hAnsi="Times New Roman" w:cs="Times New Roman"/>
              </w:rPr>
              <w:t>2 dalyje, siekiant apeiti Aprašo 2.6 papunktyje numatytą leistiną pagalbos ribą.</w:t>
            </w:r>
          </w:p>
          <w:p w14:paraId="01B7CD9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Projekto vykdytojas turi užtikrinti dokumentų saugojimą 10 finansinių metų nuo datos, kada paskutinį kartą pagal schemą buvo suteikta individuali pagalba, kaip nustatyta Reglamento (ES) Nr. 651/2014 12 straipsnio 1 dalyje.</w:t>
            </w:r>
          </w:p>
          <w:p w14:paraId="258B46D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turi užtikrinti, kad įgyvendinant valstybės pagalbos schemą, kuriai taikoma išimtis pagal Reglamentą (ES) Nr. 651/2014, vadovaujantis šio reglamento 11 straipsnyje nustatyta tvarka, Europos Komisijai būtų perduodama informacijos apie tokią pagalbą santrauka pagal šio reglamento II priede pateiktą standartinę formą. Užpildyta forma Europos Komisijai perduodama per Lietuvos Respublikos konkurencijos tarybą</w:t>
            </w:r>
            <w:r>
              <w:rPr>
                <w:rFonts w:ascii="Times New Roman" w:hAnsi="Times New Roman" w:cs="Times New Roman"/>
              </w:rPr>
              <w:t>.</w:t>
            </w:r>
          </w:p>
          <w:p w14:paraId="0E45BE4B"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Paaiškėjus, kad pagal Aprašą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p w14:paraId="0E17FE61" w14:textId="0CFE553B" w:rsidR="00CF7635" w:rsidRP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551 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5"/>
            <w:shd w:val="clear" w:color="auto" w:fill="auto"/>
          </w:tcPr>
          <w:p w14:paraId="6939010F" w14:textId="77777777" w:rsidR="00901217" w:rsidRPr="00901217" w:rsidRDefault="00D548BA" w:rsidP="00D548BA">
            <w:pPr>
              <w:spacing w:after="160" w:line="259" w:lineRule="auto"/>
              <w:rPr>
                <w:rFonts w:ascii="Times New Roman" w:eastAsia="Times New Roman" w:hAnsi="Times New Roman" w:cs="Times New Roman"/>
                <w:color w:val="000000" w:themeColor="text1"/>
              </w:rPr>
            </w:pPr>
            <w:r w:rsidRPr="00901217">
              <w:rPr>
                <w:rFonts w:ascii="Times New Roman" w:eastAsia="Times New Roman" w:hAnsi="Times New Roman" w:cs="Times New Roman"/>
              </w:rPr>
              <w:t xml:space="preserve">Projektų bendrieji atrankos kriterijai nurodyti </w:t>
            </w:r>
            <w:r w:rsidRPr="00901217">
              <w:rPr>
                <w:rFonts w:ascii="Times New Roman" w:eastAsia="Times New Roman" w:hAnsi="Times New Roman" w:cs="Times New Roman"/>
                <w:color w:val="000000" w:themeColor="text1"/>
              </w:rPr>
              <w:t xml:space="preserve">Projektų administravimo ir finansavimo taisyklių 2 priede.  </w:t>
            </w:r>
          </w:p>
          <w:p w14:paraId="189B9764" w14:textId="37E8635F" w:rsidR="00D548BA" w:rsidRPr="009C094C" w:rsidRDefault="00D548BA" w:rsidP="00D548BA">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4"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5"/>
            <w:shd w:val="clear" w:color="auto" w:fill="auto"/>
          </w:tcPr>
          <w:p w14:paraId="52540129" w14:textId="341D93E9" w:rsidR="00D548BA" w:rsidRPr="00901217" w:rsidRDefault="00901217" w:rsidP="00D548BA">
            <w:pPr>
              <w:rPr>
                <w:rFonts w:ascii="Times New Roman" w:hAnsi="Times New Roman" w:cs="Times New Roman"/>
              </w:rPr>
            </w:pPr>
            <w:r w:rsidRPr="00901217">
              <w:rPr>
                <w:rFonts w:ascii="Times New Roman" w:hAnsi="Times New Roman" w:cs="Times New Roman"/>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5"/>
            <w:shd w:val="clear" w:color="auto" w:fill="auto"/>
          </w:tcPr>
          <w:p w14:paraId="15523968" w14:textId="1C8AC383" w:rsidR="00D548BA" w:rsidRPr="00901217" w:rsidRDefault="00901217" w:rsidP="00D548BA">
            <w:pPr>
              <w:rPr>
                <w:rFonts w:ascii="Times New Roman" w:hAnsi="Times New Roman" w:cs="Times New Roman"/>
                <w:b/>
                <w:bCs/>
              </w:rPr>
            </w:pPr>
            <w:r w:rsidRPr="00901217">
              <w:rPr>
                <w:rFonts w:ascii="Times New Roman" w:hAnsi="Times New Roman" w:cs="Times New Roman"/>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6271EA">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3065"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246E6DA" w14:textId="77777777" w:rsidR="00901217" w:rsidRPr="00EB7E0B" w:rsidRDefault="00901217" w:rsidP="00901217">
            <w:pPr>
              <w:jc w:val="both"/>
              <w:rPr>
                <w:rFonts w:ascii="Times New Roman" w:eastAsia="Times New Roman" w:hAnsi="Times New Roman" w:cs="Times New Roman"/>
                <w:iCs/>
              </w:rPr>
            </w:pPr>
            <w:r>
              <w:rPr>
                <w:rFonts w:ascii="Times New Roman" w:hAnsi="Times New Roman" w:cs="Times New Roman"/>
                <w:iCs/>
              </w:rPr>
              <w:t>PĮP</w:t>
            </w:r>
            <w:r w:rsidRPr="00EB7E0B">
              <w:rPr>
                <w:rFonts w:ascii="Times New Roman" w:hAnsi="Times New Roman" w:cs="Times New Roman"/>
                <w:iCs/>
              </w:rPr>
              <w:t xml:space="preserve">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65130ACA" w14:textId="77777777" w:rsidR="00901217" w:rsidRPr="00EB7E0B" w:rsidRDefault="00901217" w:rsidP="00901217">
            <w:pPr>
              <w:jc w:val="both"/>
              <w:rPr>
                <w:rFonts w:ascii="Times New Roman" w:hAnsi="Times New Roman" w:cs="Times New Roman"/>
                <w:iCs/>
              </w:rPr>
            </w:pPr>
          </w:p>
          <w:p w14:paraId="2691E02B"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5"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551A3F8" w14:textId="77777777" w:rsidR="00901217" w:rsidRPr="007F2414" w:rsidRDefault="00901217" w:rsidP="00901217">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680C2C78" w14:textId="77777777" w:rsidR="00901217" w:rsidRPr="00EB7E0B" w:rsidRDefault="00901217" w:rsidP="00901217">
            <w:pPr>
              <w:jc w:val="both"/>
              <w:rPr>
                <w:rFonts w:ascii="Times New Roman" w:hAnsi="Times New Roman" w:cs="Times New Roman"/>
                <w:iCs/>
              </w:rPr>
            </w:pPr>
          </w:p>
          <w:p w14:paraId="3612ED75"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PĮP teikimo per DMS tvarkos nuoroda:</w:t>
            </w:r>
          </w:p>
          <w:p w14:paraId="0F2C70A2" w14:textId="77777777" w:rsidR="00901217" w:rsidRPr="00EB7E0B" w:rsidRDefault="000A3B39" w:rsidP="00901217">
            <w:pPr>
              <w:jc w:val="both"/>
              <w:rPr>
                <w:rFonts w:ascii="Times New Roman" w:hAnsi="Times New Roman" w:cs="Times New Roman"/>
                <w:iCs/>
              </w:rPr>
            </w:pPr>
            <w:hyperlink r:id="rId16" w:history="1">
              <w:r w:rsidR="00901217" w:rsidRPr="006A3259">
                <w:rPr>
                  <w:rStyle w:val="Hyperlink"/>
                  <w:rFonts w:ascii="Times New Roman" w:hAnsi="Times New Roman" w:cs="Times New Roman"/>
                  <w:iCs/>
                </w:rPr>
                <w:t>https://esinvesticijos.lt/igyvendinimas-1/dms</w:t>
              </w:r>
            </w:hyperlink>
            <w:r w:rsidR="00901217" w:rsidRPr="00EB7E0B">
              <w:rPr>
                <w:rFonts w:ascii="Times New Roman" w:hAnsi="Times New Roman" w:cs="Times New Roman"/>
                <w:iCs/>
              </w:rPr>
              <w:t xml:space="preserve"> </w:t>
            </w:r>
          </w:p>
          <w:p w14:paraId="31C64CC5" w14:textId="7A192900" w:rsidR="00D548BA" w:rsidRPr="00F62A6E" w:rsidRDefault="00D548BA" w:rsidP="00D548BA">
            <w:pPr>
              <w:jc w:val="both"/>
              <w:rPr>
                <w:rFonts w:ascii="Times New Roman" w:hAnsi="Times New Roman" w:cs="Times New Roman"/>
                <w:i/>
              </w:rPr>
            </w:pPr>
          </w:p>
        </w:tc>
      </w:tr>
      <w:tr w:rsidR="00D548BA" w:rsidRPr="008B168C" w14:paraId="31C64CCF" w14:textId="77777777" w:rsidTr="00BF41D9">
        <w:trPr>
          <w:cantSplit/>
          <w:trHeight w:val="5092"/>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0A3B39"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64EA6A50" w:rsidR="00D548BA" w:rsidRPr="00B57DA7" w:rsidRDefault="000A3B39" w:rsidP="00D548BA">
            <w:pPr>
              <w:rPr>
                <w:rFonts w:ascii="Times New Roman" w:hAnsi="Times New Roman" w:cs="Times New Roman"/>
              </w:rPr>
            </w:pPr>
            <w:hyperlink r:id="rId17"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0A3B39"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129707C" w:rsidR="00D548BA" w:rsidRPr="00B57DA7" w:rsidRDefault="000A3B39"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323249C7" w:rsidR="00D548BA" w:rsidRDefault="000A3B39" w:rsidP="00D548BA">
            <w:pPr>
              <w:rPr>
                <w:rFonts w:ascii="Times New Roman" w:hAnsi="Times New Roman" w:cs="Times New Roman"/>
              </w:rPr>
            </w:pPr>
            <w:hyperlink r:id="rId19"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0A3B39"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0"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F675933" w14:textId="77777777" w:rsidR="00D548BA" w:rsidRDefault="000A3B39"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2B89FA70" w14:textId="34A79CFC" w:rsidR="000C3676" w:rsidRDefault="000C3676" w:rsidP="009004C0">
            <w:pPr>
              <w:pStyle w:val="ListParagraph"/>
              <w:numPr>
                <w:ilvl w:val="0"/>
                <w:numId w:val="30"/>
              </w:numPr>
              <w:spacing w:before="120" w:after="120"/>
              <w:ind w:left="714" w:hanging="357"/>
              <w:contextualSpacing w:val="0"/>
              <w:jc w:val="both"/>
              <w:rPr>
                <w:rFonts w:ascii="Times New Roman" w:hAnsi="Times New Roman" w:cs="Times New Roman"/>
              </w:rPr>
            </w:pPr>
            <w:r>
              <w:rPr>
                <w:rFonts w:ascii="Times New Roman" w:hAnsi="Times New Roman" w:cs="Times New Roman"/>
              </w:rPr>
              <w:t>D</w:t>
            </w:r>
            <w:r w:rsidRPr="000C3676">
              <w:rPr>
                <w:rFonts w:ascii="Times New Roman" w:hAnsi="Times New Roman" w:cs="Times New Roman"/>
              </w:rPr>
              <w:t>okument</w:t>
            </w:r>
            <w:r>
              <w:rPr>
                <w:rFonts w:ascii="Times New Roman" w:hAnsi="Times New Roman" w:cs="Times New Roman"/>
              </w:rPr>
              <w:t>ai</w:t>
            </w:r>
            <w:r w:rsidRPr="000C3676">
              <w:rPr>
                <w:rFonts w:ascii="Times New Roman" w:hAnsi="Times New Roman" w:cs="Times New Roman"/>
              </w:rPr>
              <w:t>, pagrindžian</w:t>
            </w:r>
            <w:r>
              <w:rPr>
                <w:rFonts w:ascii="Times New Roman" w:hAnsi="Times New Roman" w:cs="Times New Roman"/>
              </w:rPr>
              <w:t>tys</w:t>
            </w:r>
            <w:r w:rsidRPr="000C3676">
              <w:rPr>
                <w:rFonts w:ascii="Times New Roman" w:hAnsi="Times New Roman" w:cs="Times New Roman"/>
              </w:rPr>
              <w:t xml:space="preserve"> projekto biudžetą (naujų įsigyjamų visai netaršių sunkiojo transporto priemonių kainą ir tos pačios klasės naujų galiojančius Europos Sąjungos standartus atitinkančių transporto priemonių, kurios būtų įsigytos be valstybės pagalbos, kainą pagrindžian</w:t>
            </w:r>
            <w:r>
              <w:rPr>
                <w:rFonts w:ascii="Times New Roman" w:hAnsi="Times New Roman" w:cs="Times New Roman"/>
              </w:rPr>
              <w:t>tys</w:t>
            </w:r>
            <w:r w:rsidRPr="000C3676">
              <w:rPr>
                <w:rFonts w:ascii="Times New Roman" w:hAnsi="Times New Roman" w:cs="Times New Roman"/>
              </w:rPr>
              <w:t xml:space="preserve"> dokument</w:t>
            </w:r>
            <w:r>
              <w:rPr>
                <w:rFonts w:ascii="Times New Roman" w:hAnsi="Times New Roman" w:cs="Times New Roman"/>
              </w:rPr>
              <w:t>ai</w:t>
            </w:r>
            <w:r w:rsidRPr="000C3676">
              <w:rPr>
                <w:rFonts w:ascii="Times New Roman" w:hAnsi="Times New Roman" w:cs="Times New Roman"/>
              </w:rPr>
              <w:t xml:space="preserve"> (bent po vieną komercinį tiekėjo pasiūlymą, atitinkantį pareiškėjo patvirtintas transporto priemonių technines specifikacijas))</w:t>
            </w:r>
            <w:r>
              <w:rPr>
                <w:rFonts w:ascii="Times New Roman" w:hAnsi="Times New Roman" w:cs="Times New Roman"/>
              </w:rPr>
              <w:t>.</w:t>
            </w:r>
          </w:p>
          <w:p w14:paraId="77534680" w14:textId="5A8A4BC8" w:rsidR="000C3676" w:rsidRDefault="00F80104"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F80104">
              <w:rPr>
                <w:rFonts w:ascii="Times New Roman" w:hAnsi="Times New Roman" w:cs="Times New Roman"/>
              </w:rPr>
              <w:t>areiškėjo pažym</w:t>
            </w:r>
            <w:r>
              <w:rPr>
                <w:rFonts w:ascii="Times New Roman" w:hAnsi="Times New Roman" w:cs="Times New Roman"/>
              </w:rPr>
              <w:t>a</w:t>
            </w:r>
            <w:r w:rsidRPr="00F80104">
              <w:rPr>
                <w:rFonts w:ascii="Times New Roman" w:hAnsi="Times New Roman" w:cs="Times New Roman"/>
              </w:rPr>
              <w:t>, patvirtinan</w:t>
            </w:r>
            <w:r>
              <w:rPr>
                <w:rFonts w:ascii="Times New Roman" w:hAnsi="Times New Roman" w:cs="Times New Roman"/>
              </w:rPr>
              <w:t>ti</w:t>
            </w:r>
            <w:r w:rsidRPr="00F80104">
              <w:rPr>
                <w:rFonts w:ascii="Times New Roman" w:hAnsi="Times New Roman" w:cs="Times New Roman"/>
              </w:rPr>
              <w:t xml:space="preserve"> pareiškėjo indėlį finansuojant projekto tinkamų finansuoti išlaidų dalį, kurios nepadengia projektui skiriamo finansavimo lėšos, ir netinkamas finansuoti projekto lėšomis išlaidas, taip pat nurodyti finansavimo šaltinius, sumas ir laiką; pažyma turi būti patvirtinta pareiškėjo vadovo ir vyriausiojo finansininko parašais</w:t>
            </w:r>
            <w:r>
              <w:rPr>
                <w:rFonts w:ascii="Times New Roman" w:hAnsi="Times New Roman" w:cs="Times New Roman"/>
              </w:rPr>
              <w:t>.</w:t>
            </w:r>
          </w:p>
          <w:p w14:paraId="5EA72251" w14:textId="77777777" w:rsidR="000C367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D</w:t>
            </w:r>
            <w:r w:rsidRPr="00153C46">
              <w:rPr>
                <w:rFonts w:ascii="Times New Roman" w:hAnsi="Times New Roman" w:cs="Times New Roman"/>
              </w:rPr>
              <w:t>okument</w:t>
            </w:r>
            <w:r>
              <w:rPr>
                <w:rFonts w:ascii="Times New Roman" w:hAnsi="Times New Roman" w:cs="Times New Roman"/>
              </w:rPr>
              <w:t>ai</w:t>
            </w:r>
            <w:r w:rsidRPr="00153C46">
              <w:rPr>
                <w:rFonts w:ascii="Times New Roman" w:hAnsi="Times New Roman" w:cs="Times New Roman"/>
              </w:rPr>
              <w:t>, patvirtinan</w:t>
            </w:r>
            <w:r>
              <w:rPr>
                <w:rFonts w:ascii="Times New Roman" w:hAnsi="Times New Roman" w:cs="Times New Roman"/>
              </w:rPr>
              <w:t>tys</w:t>
            </w:r>
            <w:r w:rsidRPr="00153C46">
              <w:rPr>
                <w:rFonts w:ascii="Times New Roman" w:hAnsi="Times New Roman" w:cs="Times New Roman"/>
              </w:rPr>
              <w:t>, kad pareiškėjo nuosavų lėšų šaltiniai, iš kurių įgyvendinamas projektas ar jo dalis, atitinka Aprašo 2.11 papunkčio reikalavimus</w:t>
            </w:r>
            <w:r>
              <w:rPr>
                <w:rFonts w:ascii="Times New Roman" w:hAnsi="Times New Roman" w:cs="Times New Roman"/>
              </w:rPr>
              <w:t>.</w:t>
            </w:r>
          </w:p>
          <w:p w14:paraId="1020A1F2" w14:textId="59C353C3"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smulkiojo ir vidutinio verslo statuso deklaracij</w:t>
            </w:r>
            <w:r>
              <w:rPr>
                <w:rFonts w:ascii="Times New Roman" w:hAnsi="Times New Roman" w:cs="Times New Roman"/>
              </w:rPr>
              <w:t>a</w:t>
            </w:r>
            <w:r w:rsidRPr="00153C46">
              <w:rPr>
                <w:rFonts w:ascii="Times New Roman" w:hAnsi="Times New Roman" w:cs="Times New Roman"/>
              </w:rPr>
              <w:t xml:space="preserve"> (</w:t>
            </w:r>
            <w:hyperlink r:id="rId21" w:history="1">
              <w:r w:rsidRPr="002E55D6">
                <w:rPr>
                  <w:rStyle w:val="Hyperlink"/>
                  <w:rFonts w:ascii="Times New Roman" w:hAnsi="Times New Roman" w:cs="Times New Roman"/>
                </w:rPr>
                <w:t>https://eimin.lrv.lt/lt/veiklos-sritys/verslo-aplinka/smulkiojo-ir-vidutinio-verslo-politika/statuso-deklaravimas-aktualus-dokumentai</w:t>
              </w:r>
            </w:hyperlink>
            <w:r>
              <w:rPr>
                <w:rFonts w:ascii="Times New Roman" w:hAnsi="Times New Roman" w:cs="Times New Roman"/>
              </w:rPr>
              <w:t xml:space="preserve"> </w:t>
            </w:r>
            <w:r w:rsidRPr="00153C46">
              <w:rPr>
                <w:rFonts w:ascii="Times New Roman" w:hAnsi="Times New Roman" w:cs="Times New Roman"/>
              </w:rPr>
              <w:t xml:space="preserve">),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w:t>
            </w:r>
            <w:r w:rsidRPr="00153C46">
              <w:rPr>
                <w:rFonts w:ascii="Times New Roman" w:hAnsi="Times New Roman" w:cs="Times New Roman"/>
              </w:rPr>
              <w:lastRenderedPageBreak/>
              <w:t>statuso, ir turi būti nurodyta informacija apie susijusių įmonių sąrašą</w:t>
            </w:r>
            <w:r>
              <w:rPr>
                <w:rFonts w:ascii="Times New Roman" w:hAnsi="Times New Roman" w:cs="Times New Roman"/>
              </w:rPr>
              <w:t>.</w:t>
            </w:r>
          </w:p>
          <w:p w14:paraId="6445CC88" w14:textId="2B5C28E8"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U</w:t>
            </w:r>
            <w:r w:rsidRPr="00153C46">
              <w:rPr>
                <w:rFonts w:ascii="Times New Roman" w:hAnsi="Times New Roman" w:cs="Times New Roman"/>
              </w:rPr>
              <w:t>žpildyt</w:t>
            </w:r>
            <w:r>
              <w:rPr>
                <w:rFonts w:ascii="Times New Roman" w:hAnsi="Times New Roman" w:cs="Times New Roman"/>
              </w:rPr>
              <w:t>a</w:t>
            </w:r>
            <w:r w:rsidRPr="00153C46">
              <w:rPr>
                <w:rFonts w:ascii="Times New Roman" w:hAnsi="Times New Roman" w:cs="Times New Roman"/>
              </w:rPr>
              <w:t xml:space="preserve"> Projekto (įskaitant jungtinį projektą) atitikties reikšmingos žalos nedarymo horizontaliajam principui vertinimo reikalavimų aprašo lentel</w:t>
            </w:r>
            <w:r>
              <w:rPr>
                <w:rFonts w:ascii="Times New Roman" w:hAnsi="Times New Roman" w:cs="Times New Roman"/>
              </w:rPr>
              <w:t>ė</w:t>
            </w:r>
            <w:r w:rsidRPr="00153C46">
              <w:rPr>
                <w:rFonts w:ascii="Times New Roman" w:hAnsi="Times New Roman" w:cs="Times New Roman"/>
              </w:rPr>
              <w:t xml:space="preserve"> (Aprašo 1 priedas)</w:t>
            </w:r>
            <w:r>
              <w:rPr>
                <w:rFonts w:ascii="Times New Roman" w:hAnsi="Times New Roman" w:cs="Times New Roman"/>
              </w:rPr>
              <w:t>.</w:t>
            </w:r>
          </w:p>
          <w:p w14:paraId="2B58BD9C" w14:textId="7753E059"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pastarųjų finansinių metų Lietuvos Respublikos įstatymų nustatyta tvarka patvirtintų metinės finansinės (konsoliduotosios, jeigu taikoma) atskaitomybės dokumentų kopij</w:t>
            </w:r>
            <w:r>
              <w:rPr>
                <w:rFonts w:ascii="Times New Roman" w:hAnsi="Times New Roman" w:cs="Times New Roman"/>
              </w:rPr>
              <w:t>o</w:t>
            </w:r>
            <w:r w:rsidRPr="00153C46">
              <w:rPr>
                <w:rFonts w:ascii="Times New Roman" w:hAnsi="Times New Roman" w:cs="Times New Roman"/>
              </w:rPr>
              <w:t>s (netaikoma pareiškėjui, kuris šias kopijas yra pateikęs Juridinių asmenų registrui)</w:t>
            </w:r>
            <w:r>
              <w:rPr>
                <w:rFonts w:ascii="Times New Roman" w:hAnsi="Times New Roman" w:cs="Times New Roman"/>
              </w:rPr>
              <w:t>.</w:t>
            </w:r>
          </w:p>
          <w:p w14:paraId="31C64CCE" w14:textId="4FACA50D" w:rsidR="00153C46" w:rsidRPr="000C367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rojekto įgyvendinimo metu planuojamų įsigyti visai netaršių sunkiojo transporto priemonių ir tos pačios kategorijos naujų galiojančius Europos Sąjungos standartus (ne žemesnio kaip EURO 6 standarto) atitinkančių transporto priemonių, kurios būtų įsigytos be valstybės pagalbos, technin</w:t>
            </w:r>
            <w:r>
              <w:rPr>
                <w:rFonts w:ascii="Times New Roman" w:hAnsi="Times New Roman" w:cs="Times New Roman"/>
              </w:rPr>
              <w:t>ė</w:t>
            </w:r>
            <w:r w:rsidRPr="00153C46">
              <w:rPr>
                <w:rFonts w:ascii="Times New Roman" w:hAnsi="Times New Roman" w:cs="Times New Roman"/>
              </w:rPr>
              <w:t>s specifikacij</w:t>
            </w:r>
            <w:r>
              <w:rPr>
                <w:rFonts w:ascii="Times New Roman" w:hAnsi="Times New Roman" w:cs="Times New Roman"/>
              </w:rPr>
              <w:t>o</w:t>
            </w:r>
            <w:r w:rsidRPr="00153C46">
              <w:rPr>
                <w:rFonts w:ascii="Times New Roman" w:hAnsi="Times New Roman" w:cs="Times New Roman"/>
              </w:rPr>
              <w:t>s (patvirtint</w:t>
            </w:r>
            <w:r>
              <w:rPr>
                <w:rFonts w:ascii="Times New Roman" w:hAnsi="Times New Roman" w:cs="Times New Roman"/>
              </w:rPr>
              <w:t>o</w:t>
            </w:r>
            <w:r w:rsidRPr="00153C46">
              <w:rPr>
                <w:rFonts w:ascii="Times New Roman" w:hAnsi="Times New Roman" w:cs="Times New Roman"/>
              </w:rPr>
              <w:t>s atsakingų asmenų).</w:t>
            </w:r>
          </w:p>
        </w:tc>
      </w:tr>
      <w:tr w:rsidR="00D548BA" w:rsidRPr="008B168C" w14:paraId="61AE40BF" w14:textId="77777777" w:rsidTr="006271EA">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48BA" w:rsidRPr="00B57DA7" w:rsidRDefault="000A3B39"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3FCB19C" w:rsidR="00D548BA" w:rsidRPr="008B168C" w:rsidRDefault="000A3B39"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F41D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6271EA">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3DE7C211" w:rsidR="00D548BA" w:rsidRPr="00F229DE" w:rsidRDefault="00BF41D9" w:rsidP="00BF41D9">
            <w:pPr>
              <w:jc w:val="both"/>
              <w:rPr>
                <w:rFonts w:ascii="Times New Roman" w:hAnsi="Times New Roman" w:cs="Times New Roman"/>
                <w:i/>
                <w:iCs/>
              </w:rPr>
            </w:pPr>
            <w:r w:rsidRPr="00BF41D9">
              <w:rPr>
                <w:rFonts w:ascii="Times New Roman" w:hAnsi="Times New Roman" w:cs="Times New Roman"/>
              </w:rPr>
              <w:t>Centrinės projektų valdymo agentūros Darnaus transporto projektų skyriaus vyresn</w:t>
            </w:r>
            <w:r>
              <w:rPr>
                <w:rFonts w:ascii="Times New Roman" w:hAnsi="Times New Roman" w:cs="Times New Roman"/>
              </w:rPr>
              <w:t>ysis</w:t>
            </w:r>
            <w:r w:rsidRPr="00BF41D9">
              <w:rPr>
                <w:rFonts w:ascii="Times New Roman" w:hAnsi="Times New Roman" w:cs="Times New Roman"/>
              </w:rPr>
              <w:t xml:space="preserve"> projektų vadov</w:t>
            </w:r>
            <w:r>
              <w:rPr>
                <w:rFonts w:ascii="Times New Roman" w:hAnsi="Times New Roman" w:cs="Times New Roman"/>
              </w:rPr>
              <w:t>as</w:t>
            </w:r>
            <w:r w:rsidRPr="00BF41D9">
              <w:rPr>
                <w:rFonts w:ascii="Times New Roman" w:hAnsi="Times New Roman" w:cs="Times New Roman"/>
              </w:rPr>
              <w:t xml:space="preserve"> </w:t>
            </w:r>
            <w:r>
              <w:rPr>
                <w:rFonts w:ascii="Times New Roman" w:hAnsi="Times New Roman" w:cs="Times New Roman"/>
              </w:rPr>
              <w:t>Andrius Kupetauskas</w:t>
            </w:r>
            <w:r w:rsidRPr="00BF41D9">
              <w:rPr>
                <w:rFonts w:ascii="Times New Roman" w:hAnsi="Times New Roman" w:cs="Times New Roman"/>
              </w:rPr>
              <w:t>,</w:t>
            </w:r>
            <w:r>
              <w:rPr>
                <w:rFonts w:ascii="Times New Roman" w:hAnsi="Times New Roman" w:cs="Times New Roman"/>
              </w:rPr>
              <w:t xml:space="preserve"> </w:t>
            </w:r>
            <w:r w:rsidRPr="00BF41D9">
              <w:rPr>
                <w:rFonts w:ascii="Times New Roman" w:hAnsi="Times New Roman" w:cs="Times New Roman"/>
              </w:rPr>
              <w:t>tel. +370 6</w:t>
            </w:r>
            <w:r>
              <w:rPr>
                <w:rFonts w:ascii="Times New Roman" w:hAnsi="Times New Roman" w:cs="Times New Roman"/>
              </w:rPr>
              <w:t>30</w:t>
            </w:r>
            <w:r w:rsidRPr="00BF41D9">
              <w:rPr>
                <w:rFonts w:ascii="Times New Roman" w:hAnsi="Times New Roman" w:cs="Times New Roman"/>
              </w:rPr>
              <w:t xml:space="preserve"> </w:t>
            </w:r>
            <w:r>
              <w:rPr>
                <w:rFonts w:ascii="Times New Roman" w:hAnsi="Times New Roman" w:cs="Times New Roman"/>
              </w:rPr>
              <w:t>81022</w:t>
            </w:r>
            <w:r w:rsidRPr="00BF41D9">
              <w:rPr>
                <w:rFonts w:ascii="Times New Roman" w:hAnsi="Times New Roman" w:cs="Times New Roman"/>
              </w:rPr>
              <w:t>, el. p. a.kupetauskas@cpva.lt</w:t>
            </w:r>
          </w:p>
        </w:tc>
      </w:tr>
      <w:tr w:rsidR="00D548BA" w:rsidRPr="008B168C" w14:paraId="228A697B" w14:textId="77777777" w:rsidTr="006271EA">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97C399B" w14:textId="77777777" w:rsidR="00F05784" w:rsidRDefault="00F05784" w:rsidP="00F05784">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DBAB849" w14:textId="77777777" w:rsidR="00F05784" w:rsidRDefault="000A3B39" w:rsidP="00F05784">
            <w:pPr>
              <w:jc w:val="both"/>
              <w:rPr>
                <w:rFonts w:ascii="Times New Roman" w:hAnsi="Times New Roman" w:cs="Times New Roman"/>
              </w:rPr>
            </w:pPr>
            <w:hyperlink r:id="rId22" w:history="1">
              <w:r w:rsidR="00F05784" w:rsidRPr="002257EF">
                <w:rPr>
                  <w:rStyle w:val="Hyperlink"/>
                  <w:rFonts w:ascii="Times New Roman" w:hAnsi="Times New Roman" w:cs="Times New Roman"/>
                </w:rPr>
                <w:t>https://www.e-tar.lt/portal/lt/legalAct/14e33320f1ed11ec8fa7d02a65c371ad/asr</w:t>
              </w:r>
            </w:hyperlink>
          </w:p>
          <w:p w14:paraId="2F3CC594" w14:textId="77777777" w:rsidR="00F05784" w:rsidRDefault="00F05784" w:rsidP="00F05784">
            <w:pPr>
              <w:jc w:val="both"/>
              <w:rPr>
                <w:rFonts w:ascii="Times New Roman" w:eastAsia="Times New Roman" w:hAnsi="Times New Roman" w:cs="Times New Roman"/>
                <w:lang w:eastAsia="lt-LT"/>
              </w:rPr>
            </w:pPr>
          </w:p>
          <w:p w14:paraId="49747863" w14:textId="77777777" w:rsidR="00F05784" w:rsidRPr="003D2D4C" w:rsidRDefault="00F05784" w:rsidP="00F0578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3F69F097" w14:textId="49C84AF0" w:rsidR="00F05784" w:rsidRDefault="000A3B39" w:rsidP="00F05784">
            <w:pPr>
              <w:jc w:val="both"/>
              <w:rPr>
                <w:rFonts w:ascii="Times New Roman" w:hAnsi="Times New Roman" w:cs="Times New Roman"/>
              </w:rPr>
            </w:pPr>
            <w:hyperlink r:id="rId23" w:history="1">
              <w:r w:rsidR="00F05784" w:rsidRPr="00EB5B10">
                <w:rPr>
                  <w:rStyle w:val="Hyperlink"/>
                  <w:rFonts w:ascii="Times New Roman" w:hAnsi="Times New Roman" w:cs="Times New Roman"/>
                </w:rPr>
                <w:t>https://www.e-tar.lt/portal/lt/legalAct/7b8265a0da3111eead77e967e3995264</w:t>
              </w:r>
            </w:hyperlink>
            <w:r w:rsidR="00F05784">
              <w:rPr>
                <w:rFonts w:ascii="Times New Roman" w:hAnsi="Times New Roman" w:cs="Times New Roman"/>
              </w:rPr>
              <w:t xml:space="preserve"> </w:t>
            </w:r>
          </w:p>
          <w:p w14:paraId="40E1609E" w14:textId="77777777" w:rsidR="00F05784" w:rsidRPr="003D2D4C" w:rsidRDefault="00F05784" w:rsidP="00F05784">
            <w:pPr>
              <w:jc w:val="both"/>
              <w:rPr>
                <w:rFonts w:ascii="Times New Roman" w:eastAsia="Times New Roman" w:hAnsi="Times New Roman" w:cs="Times New Roman"/>
                <w:lang w:eastAsia="lt-LT"/>
              </w:rPr>
            </w:pPr>
          </w:p>
          <w:p w14:paraId="218C684F" w14:textId="5E3F9770" w:rsidR="00D548BA" w:rsidRPr="00F229DE" w:rsidRDefault="00F05784" w:rsidP="00F05784">
            <w:pPr>
              <w:jc w:val="both"/>
              <w:rPr>
                <w:rFonts w:ascii="Times New Roman" w:hAnsi="Times New Roman" w:cs="Times New Roman"/>
                <w:i/>
                <w:iCs/>
              </w:rPr>
            </w:pPr>
            <w:r w:rsidRPr="003D2D4C">
              <w:rPr>
                <w:rFonts w:ascii="Times New Roman" w:eastAsia="Times New Roman" w:hAnsi="Times New Roman" w:cs="Times New Roman"/>
                <w:lang w:eastAsia="lt-LT"/>
              </w:rPr>
              <w:t>Kiti taikomi teisės aktai nurodyti Aprašo 1 punkte.</w:t>
            </w:r>
          </w:p>
        </w:tc>
      </w:tr>
      <w:tr w:rsidR="00D548BA" w:rsidRPr="008B168C" w14:paraId="31C64CDC" w14:textId="77777777" w:rsidTr="006271EA">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812" w:type="dxa"/>
            <w:gridSpan w:val="3"/>
          </w:tcPr>
          <w:p w14:paraId="31C64CDB" w14:textId="6E066D26" w:rsidR="00D548BA" w:rsidRPr="00344EBE" w:rsidRDefault="00F835FC"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6271EA">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23DC17D5" w14:textId="77777777" w:rsidR="00F835FC" w:rsidRPr="006B2E2D" w:rsidRDefault="00F835FC" w:rsidP="00F835FC">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4" w:history="1">
              <w:r w:rsidRPr="003429C4">
                <w:rPr>
                  <w:rStyle w:val="Hyperlink"/>
                  <w:rFonts w:ascii="Times New Roman" w:hAnsi="Times New Roman" w:cs="Times New Roman"/>
                </w:rPr>
                <w:t>https://2021.esinvesticijos.lt/dokumentai/projekto-igyvendinimo-plano-forma</w:t>
              </w:r>
            </w:hyperlink>
          </w:p>
          <w:p w14:paraId="4D8B0E4F" w14:textId="77777777" w:rsidR="00F835FC" w:rsidRPr="003429C4" w:rsidRDefault="00F835FC" w:rsidP="00F835FC">
            <w:pPr>
              <w:rPr>
                <w:rFonts w:ascii="Times New Roman" w:hAnsi="Times New Roman" w:cs="Times New Roman"/>
              </w:rPr>
            </w:pPr>
            <w:r w:rsidRPr="003429C4">
              <w:rPr>
                <w:rFonts w:ascii="Times New Roman" w:hAnsi="Times New Roman" w:cs="Times New Roman"/>
              </w:rPr>
              <w:t xml:space="preserve">Projekto sutarties forma: </w:t>
            </w:r>
          </w:p>
          <w:p w14:paraId="6AB0D4EC" w14:textId="77777777" w:rsidR="00F835FC" w:rsidRPr="003429C4" w:rsidRDefault="000A3B39" w:rsidP="00F835FC">
            <w:pPr>
              <w:rPr>
                <w:rStyle w:val="Hyperlink"/>
                <w:rFonts w:ascii="Times New Roman" w:hAnsi="Times New Roman" w:cs="Times New Roman"/>
              </w:rPr>
            </w:pPr>
            <w:hyperlink r:id="rId25" w:history="1">
              <w:r w:rsidR="00F835FC" w:rsidRPr="003429C4">
                <w:rPr>
                  <w:rStyle w:val="Hyperlink"/>
                  <w:rFonts w:ascii="Times New Roman" w:hAnsi="Times New Roman" w:cs="Times New Roman"/>
                </w:rPr>
                <w:t>https://2021.esinvesticijos.lt/dokumentai/projekto-sutarties-forma-1</w:t>
              </w:r>
            </w:hyperlink>
          </w:p>
          <w:p w14:paraId="2A0F5C6F" w14:textId="51CC40BB"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615147"/>
    <w:multiLevelType w:val="hybridMultilevel"/>
    <w:tmpl w:val="8A7C4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14E03"/>
    <w:multiLevelType w:val="multilevel"/>
    <w:tmpl w:val="CA1E8D4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540E"/>
    <w:multiLevelType w:val="hybridMultilevel"/>
    <w:tmpl w:val="F32ED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AD6"/>
    <w:multiLevelType w:val="multilevel"/>
    <w:tmpl w:val="EF06769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3"/>
  </w:num>
  <w:num w:numId="3" w16cid:durableId="1697852437">
    <w:abstractNumId w:val="1"/>
  </w:num>
  <w:num w:numId="4" w16cid:durableId="212932639">
    <w:abstractNumId w:val="0"/>
  </w:num>
  <w:num w:numId="5" w16cid:durableId="1273518823">
    <w:abstractNumId w:val="10"/>
  </w:num>
  <w:num w:numId="6" w16cid:durableId="690842849">
    <w:abstractNumId w:val="18"/>
  </w:num>
  <w:num w:numId="7" w16cid:durableId="47001716">
    <w:abstractNumId w:val="6"/>
  </w:num>
  <w:num w:numId="8" w16cid:durableId="977808325">
    <w:abstractNumId w:val="3"/>
  </w:num>
  <w:num w:numId="9" w16cid:durableId="1796439175">
    <w:abstractNumId w:val="5"/>
  </w:num>
  <w:num w:numId="10" w16cid:durableId="873813898">
    <w:abstractNumId w:val="21"/>
  </w:num>
  <w:num w:numId="11" w16cid:durableId="460073394">
    <w:abstractNumId w:val="11"/>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2"/>
  </w:num>
  <w:num w:numId="24" w16cid:durableId="994838730">
    <w:abstractNumId w:val="7"/>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07060983">
    <w:abstractNumId w:val="20"/>
  </w:num>
  <w:num w:numId="27" w16cid:durableId="14775645">
    <w:abstractNumId w:val="4"/>
  </w:num>
  <w:num w:numId="28" w16cid:durableId="862282044">
    <w:abstractNumId w:val="19"/>
  </w:num>
  <w:num w:numId="29" w16cid:durableId="1377126168">
    <w:abstractNumId w:val="9"/>
  </w:num>
  <w:num w:numId="30" w16cid:durableId="1518425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C4"/>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3B39"/>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676"/>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C46"/>
    <w:rsid w:val="00154014"/>
    <w:rsid w:val="00154236"/>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B7F84"/>
    <w:rsid w:val="001C2E7B"/>
    <w:rsid w:val="001C349B"/>
    <w:rsid w:val="001C497B"/>
    <w:rsid w:val="001C4BCD"/>
    <w:rsid w:val="001C5230"/>
    <w:rsid w:val="001C7627"/>
    <w:rsid w:val="001C7CC9"/>
    <w:rsid w:val="001D023B"/>
    <w:rsid w:val="001D15F4"/>
    <w:rsid w:val="001D1F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7A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1EDD"/>
    <w:rsid w:val="00272065"/>
    <w:rsid w:val="002723D7"/>
    <w:rsid w:val="00272962"/>
    <w:rsid w:val="0027459F"/>
    <w:rsid w:val="00275B7B"/>
    <w:rsid w:val="00283428"/>
    <w:rsid w:val="002860C1"/>
    <w:rsid w:val="00286F8E"/>
    <w:rsid w:val="002910F8"/>
    <w:rsid w:val="00291EFB"/>
    <w:rsid w:val="00292B71"/>
    <w:rsid w:val="00292E8C"/>
    <w:rsid w:val="002945DB"/>
    <w:rsid w:val="0029570A"/>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F31"/>
    <w:rsid w:val="002F347F"/>
    <w:rsid w:val="002F3649"/>
    <w:rsid w:val="002F7A57"/>
    <w:rsid w:val="003025E2"/>
    <w:rsid w:val="00302EFA"/>
    <w:rsid w:val="00304F2D"/>
    <w:rsid w:val="003060E6"/>
    <w:rsid w:val="00306E0B"/>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400"/>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0CB2"/>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336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4887"/>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A5D63"/>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ECC"/>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71EA"/>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8B"/>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D24"/>
    <w:rsid w:val="006A00FF"/>
    <w:rsid w:val="006A1058"/>
    <w:rsid w:val="006A2DBF"/>
    <w:rsid w:val="006A2E0D"/>
    <w:rsid w:val="006A47F9"/>
    <w:rsid w:val="006B078B"/>
    <w:rsid w:val="006B59A9"/>
    <w:rsid w:val="006B7560"/>
    <w:rsid w:val="006C083E"/>
    <w:rsid w:val="006C232D"/>
    <w:rsid w:val="006C2504"/>
    <w:rsid w:val="006C61BD"/>
    <w:rsid w:val="006C6CDD"/>
    <w:rsid w:val="006C7568"/>
    <w:rsid w:val="006D088B"/>
    <w:rsid w:val="006D0D2B"/>
    <w:rsid w:val="006D319D"/>
    <w:rsid w:val="006D3337"/>
    <w:rsid w:val="006D3F5D"/>
    <w:rsid w:val="006D4EAD"/>
    <w:rsid w:val="006D6EFF"/>
    <w:rsid w:val="006E018E"/>
    <w:rsid w:val="006E0B11"/>
    <w:rsid w:val="006E0D01"/>
    <w:rsid w:val="006E114B"/>
    <w:rsid w:val="006E1AE0"/>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CAF"/>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162"/>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688"/>
    <w:rsid w:val="008F48E1"/>
    <w:rsid w:val="008F5B76"/>
    <w:rsid w:val="008F5B94"/>
    <w:rsid w:val="008F62D3"/>
    <w:rsid w:val="008F630A"/>
    <w:rsid w:val="008F7EDD"/>
    <w:rsid w:val="0090022D"/>
    <w:rsid w:val="009004C0"/>
    <w:rsid w:val="00901215"/>
    <w:rsid w:val="00901217"/>
    <w:rsid w:val="00902CAE"/>
    <w:rsid w:val="0090338F"/>
    <w:rsid w:val="00913C77"/>
    <w:rsid w:val="00917BB4"/>
    <w:rsid w:val="0092049F"/>
    <w:rsid w:val="009224B2"/>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533"/>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491"/>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1E7"/>
    <w:rsid w:val="00AE7825"/>
    <w:rsid w:val="00AF243A"/>
    <w:rsid w:val="00AF361D"/>
    <w:rsid w:val="00AF4DFD"/>
    <w:rsid w:val="00AF50E9"/>
    <w:rsid w:val="00AF57CF"/>
    <w:rsid w:val="00AF5DEE"/>
    <w:rsid w:val="00AF6987"/>
    <w:rsid w:val="00AF6EC6"/>
    <w:rsid w:val="00AF7303"/>
    <w:rsid w:val="00AF7FD4"/>
    <w:rsid w:val="00B03EBE"/>
    <w:rsid w:val="00B042B8"/>
    <w:rsid w:val="00B055AE"/>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1D9"/>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601"/>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E27"/>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635"/>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34B9"/>
    <w:rsid w:val="00D455FE"/>
    <w:rsid w:val="00D45686"/>
    <w:rsid w:val="00D45ED7"/>
    <w:rsid w:val="00D45FEE"/>
    <w:rsid w:val="00D4649C"/>
    <w:rsid w:val="00D46EF1"/>
    <w:rsid w:val="00D47F44"/>
    <w:rsid w:val="00D50356"/>
    <w:rsid w:val="00D50990"/>
    <w:rsid w:val="00D52558"/>
    <w:rsid w:val="00D548BA"/>
    <w:rsid w:val="00D54CEE"/>
    <w:rsid w:val="00D55E4D"/>
    <w:rsid w:val="00D56CAF"/>
    <w:rsid w:val="00D601D8"/>
    <w:rsid w:val="00D6162B"/>
    <w:rsid w:val="00D633F1"/>
    <w:rsid w:val="00D63ECA"/>
    <w:rsid w:val="00D66001"/>
    <w:rsid w:val="00D664F1"/>
    <w:rsid w:val="00D66C41"/>
    <w:rsid w:val="00D708B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58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B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65E5"/>
    <w:rsid w:val="00EF78B6"/>
    <w:rsid w:val="00EF7DB3"/>
    <w:rsid w:val="00F0057E"/>
    <w:rsid w:val="00F05784"/>
    <w:rsid w:val="00F05CC6"/>
    <w:rsid w:val="00F06D45"/>
    <w:rsid w:val="00F10CBB"/>
    <w:rsid w:val="00F11C68"/>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B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104"/>
    <w:rsid w:val="00F809FC"/>
    <w:rsid w:val="00F82DC2"/>
    <w:rsid w:val="00F835FC"/>
    <w:rsid w:val="00F864F1"/>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FC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imin.lrv.lt/lt/veiklos-sritys/verslo-aplinka/smulkiojo-ir-vidutinio-verslo-politika/statuso-deklaravimas-aktualus-dokumentai"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b8265a0da3111eead77e967e3995264"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7b8265a0da3111eead77e967e3995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2C82"/>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0C0C891-9BA2-4682-8954-EF7BD56839F7}"/>
</file>

<file path=docProps/app.xml><?xml version="1.0" encoding="utf-8"?>
<Properties xmlns="http://schemas.openxmlformats.org/officeDocument/2006/extended-properties" xmlns:vt="http://schemas.openxmlformats.org/officeDocument/2006/docPropsVTypes">
  <Template>Normal</Template>
  <TotalTime>223</TotalTime>
  <Pages>20</Pages>
  <Words>29450</Words>
  <Characters>16787</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Nr. 08-020-T teikti PIP_projektas_N2</dc:title>
  <dc:subject/>
  <dc:creator>Zita  Markevičienė</dc:creator>
  <cp:keywords/>
  <dc:description/>
  <cp:lastModifiedBy>Andrius Kupetauskas</cp:lastModifiedBy>
  <cp:revision>35</cp:revision>
  <dcterms:created xsi:type="dcterms:W3CDTF">2024-03-05T08:32:00Z</dcterms:created>
  <dcterms:modified xsi:type="dcterms:W3CDTF">2024-03-06T14:21:00Z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1351;#Andrius Kupetauskas;#145;#Audrius Tamkus</vt:lpwstr>
  </property>
  <property fmtid="{D5CDD505-2E9C-101B-9397-08002B2CF9AE}" pid="6" name="DmsPermissionsDivisions">
    <vt:lpwstr>3169;#Darnaus transporto projektų skyrius|ac541b4c-a511-49a1-b192-8ec1ac837a74</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