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43FC0" w14:textId="77777777" w:rsidR="00CC6904" w:rsidRDefault="00CC6904" w:rsidP="00E93301">
      <w:pPr>
        <w:jc w:val="center"/>
        <w:rPr>
          <w:rFonts w:ascii="Times New Roman" w:hAnsi="Times New Roman" w:cs="Times New Roman"/>
          <w:b/>
        </w:rPr>
      </w:pPr>
      <w:bookmarkStart w:id="0" w:name="_GoBack"/>
      <w:bookmarkEnd w:id="0"/>
    </w:p>
    <w:p w14:paraId="19E1D8F9" w14:textId="3724BF7F" w:rsidR="00CC6904" w:rsidRDefault="00CC6904" w:rsidP="00E93301">
      <w:pPr>
        <w:jc w:val="center"/>
        <w:rPr>
          <w:rFonts w:ascii="Times New Roman" w:hAnsi="Times New Roman" w:cs="Times New Roman"/>
          <w:b/>
        </w:rPr>
      </w:pPr>
      <w:r w:rsidRPr="00CC6904">
        <w:rPr>
          <w:rFonts w:ascii="Times New Roman" w:hAnsi="Times New Roman" w:cs="Times New Roman"/>
          <w:b/>
        </w:rPr>
        <w:t>2022–2030 METŲ PLĖTROS PROGRAMOS VALDYTOJOS LIETUVOS RESPUBLIKOS SUSISIEKIMO MINISTERIJOS SUSISIEKIMO PLĖTROS PROGRAMOS PAŽANGOS PRIEMONĖS NR. 10-001-06-01-01 „SKATINTI ALTERNATYVIŲJŲ DEGALŲ NAUDOJIMĄ TRANSPORTO SEKTORIUJE“ VEIKLOS „VIEŠŲJŲ VANDENILIO PILDYMO PUNKTŲ ĮRENGIMAS“</w:t>
      </w:r>
    </w:p>
    <w:p w14:paraId="6CDE5F62" w14:textId="5C934C45" w:rsidR="000E1BDC" w:rsidRPr="008910FE" w:rsidRDefault="002F0078" w:rsidP="00E93301">
      <w:pPr>
        <w:jc w:val="center"/>
        <w:rPr>
          <w:rFonts w:ascii="Times New Roman" w:hAnsi="Times New Roman" w:cs="Times New Roman"/>
          <w:b/>
        </w:rPr>
      </w:pPr>
      <w:r>
        <w:rPr>
          <w:rFonts w:ascii="Times New Roman" w:hAnsi="Times New Roman" w:cs="Times New Roman"/>
          <w:b/>
        </w:rPr>
        <w:t>NAUDOS IR KOKYBĖS VERTINIMO</w:t>
      </w:r>
      <w:r w:rsidR="008910FE" w:rsidRPr="008910FE">
        <w:rPr>
          <w:rFonts w:ascii="Times New Roman" w:hAnsi="Times New Roman" w:cs="Times New Roman"/>
          <w:b/>
        </w:rPr>
        <w:t xml:space="preserve"> PATIKROS LAPAS</w:t>
      </w:r>
    </w:p>
    <w:p w14:paraId="29FE12BC" w14:textId="77777777" w:rsidR="00B351D0" w:rsidRPr="007C7A59" w:rsidRDefault="001D355E" w:rsidP="00047D1C">
      <w:pPr>
        <w:pStyle w:val="Heading1"/>
        <w:numPr>
          <w:ilvl w:val="0"/>
          <w:numId w:val="2"/>
        </w:numPr>
        <w:rPr>
          <w:b w:val="0"/>
        </w:rPr>
      </w:pPr>
      <w:r w:rsidRPr="007C7A59">
        <w:t>BENDRA INFORMACIJA</w:t>
      </w:r>
    </w:p>
    <w:tbl>
      <w:tblPr>
        <w:tblStyle w:val="TableGrid"/>
        <w:tblW w:w="14596" w:type="dxa"/>
        <w:tblLook w:val="04A0" w:firstRow="1" w:lastRow="0" w:firstColumn="1" w:lastColumn="0" w:noHBand="0" w:noVBand="1"/>
      </w:tblPr>
      <w:tblGrid>
        <w:gridCol w:w="3539"/>
        <w:gridCol w:w="11057"/>
      </w:tblGrid>
      <w:tr w:rsidR="00B351D0" w:rsidRPr="007C7A59" w14:paraId="324F7CBB" w14:textId="77777777" w:rsidTr="003125E8">
        <w:tc>
          <w:tcPr>
            <w:tcW w:w="3539" w:type="dxa"/>
            <w:shd w:val="clear" w:color="auto" w:fill="D9D9D9" w:themeFill="background1" w:themeFillShade="D9"/>
          </w:tcPr>
          <w:p w14:paraId="132191F0" w14:textId="4E85891C" w:rsidR="00B351D0" w:rsidRPr="008D18C8" w:rsidRDefault="00B351D0"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Projekto kodas</w:t>
            </w:r>
          </w:p>
        </w:tc>
        <w:tc>
          <w:tcPr>
            <w:tcW w:w="11057" w:type="dxa"/>
          </w:tcPr>
          <w:p w14:paraId="09E85D49" w14:textId="6FD8BFE8" w:rsidR="00B351D0" w:rsidRPr="008D18C8" w:rsidRDefault="00B351D0" w:rsidP="00E93301">
            <w:pPr>
              <w:spacing w:after="120"/>
              <w:rPr>
                <w:rFonts w:ascii="Times New Roman" w:hAnsi="Times New Roman" w:cs="Times New Roman"/>
              </w:rPr>
            </w:pPr>
          </w:p>
        </w:tc>
      </w:tr>
      <w:tr w:rsidR="00B351D0" w:rsidRPr="007C7A59" w14:paraId="69A47D95" w14:textId="77777777" w:rsidTr="003125E8">
        <w:tc>
          <w:tcPr>
            <w:tcW w:w="3539" w:type="dxa"/>
            <w:shd w:val="clear" w:color="auto" w:fill="D9D9D9" w:themeFill="background1" w:themeFillShade="D9"/>
          </w:tcPr>
          <w:p w14:paraId="1F578F5F" w14:textId="54712913" w:rsidR="00B351D0" w:rsidRPr="008D18C8" w:rsidRDefault="00B351D0"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Projekto vykdytojas</w:t>
            </w:r>
            <w:r w:rsidR="008910FE" w:rsidRPr="008D18C8">
              <w:rPr>
                <w:rFonts w:ascii="Times New Roman" w:hAnsi="Times New Roman" w:cs="Times New Roman"/>
              </w:rPr>
              <w:t xml:space="preserve"> (Pareiškėjas)</w:t>
            </w:r>
          </w:p>
        </w:tc>
        <w:tc>
          <w:tcPr>
            <w:tcW w:w="11057" w:type="dxa"/>
          </w:tcPr>
          <w:p w14:paraId="7D24036E" w14:textId="694715F3" w:rsidR="00B351D0" w:rsidRPr="008D18C8" w:rsidRDefault="00B351D0" w:rsidP="00E93301">
            <w:pPr>
              <w:spacing w:after="120"/>
              <w:rPr>
                <w:rFonts w:ascii="Times New Roman" w:hAnsi="Times New Roman" w:cs="Times New Roman"/>
              </w:rPr>
            </w:pPr>
          </w:p>
        </w:tc>
      </w:tr>
      <w:tr w:rsidR="001D355E" w:rsidRPr="007C7A59" w14:paraId="72579DC4" w14:textId="77777777" w:rsidTr="003125E8">
        <w:tc>
          <w:tcPr>
            <w:tcW w:w="3539" w:type="dxa"/>
            <w:shd w:val="clear" w:color="auto" w:fill="D9D9D9" w:themeFill="background1" w:themeFillShade="D9"/>
          </w:tcPr>
          <w:p w14:paraId="0F805FEC" w14:textId="4D1BB93F" w:rsidR="001D355E" w:rsidRPr="008D18C8" w:rsidRDefault="001D355E"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 xml:space="preserve">Tikrinamo objekto </w:t>
            </w:r>
            <w:r w:rsidR="00A043DF" w:rsidRPr="008D18C8">
              <w:rPr>
                <w:rFonts w:ascii="Times New Roman" w:hAnsi="Times New Roman" w:cs="Times New Roman"/>
              </w:rPr>
              <w:t xml:space="preserve">gavimo </w:t>
            </w:r>
            <w:r w:rsidRPr="008D18C8">
              <w:rPr>
                <w:rFonts w:ascii="Times New Roman" w:hAnsi="Times New Roman" w:cs="Times New Roman"/>
              </w:rPr>
              <w:t>data</w:t>
            </w:r>
          </w:p>
        </w:tc>
        <w:tc>
          <w:tcPr>
            <w:tcW w:w="11057" w:type="dxa"/>
          </w:tcPr>
          <w:p w14:paraId="4AEC9D33" w14:textId="6721F00E" w:rsidR="001D355E" w:rsidRPr="008D18C8" w:rsidRDefault="001D355E" w:rsidP="00E93301">
            <w:pPr>
              <w:spacing w:after="120"/>
              <w:rPr>
                <w:rFonts w:ascii="Times New Roman" w:hAnsi="Times New Roman" w:cs="Times New Roman"/>
              </w:rPr>
            </w:pPr>
          </w:p>
        </w:tc>
      </w:tr>
    </w:tbl>
    <w:p w14:paraId="027A7495" w14:textId="761852F1" w:rsidR="0079046B" w:rsidRDefault="001D355E" w:rsidP="00047D1C">
      <w:pPr>
        <w:pStyle w:val="Heading1"/>
        <w:numPr>
          <w:ilvl w:val="0"/>
          <w:numId w:val="2"/>
        </w:numPr>
      </w:pPr>
      <w:r w:rsidRPr="007C7A59">
        <w:t>PATIKROS KLAUSIMAI</w:t>
      </w:r>
    </w:p>
    <w:tbl>
      <w:tblPr>
        <w:tblW w:w="5000" w:type="pct"/>
        <w:tblLayout w:type="fixed"/>
        <w:tblCellMar>
          <w:top w:w="15" w:type="dxa"/>
          <w:bottom w:w="15" w:type="dxa"/>
        </w:tblCellMar>
        <w:tblLook w:val="04A0" w:firstRow="1" w:lastRow="0" w:firstColumn="1" w:lastColumn="0" w:noHBand="0" w:noVBand="1"/>
      </w:tblPr>
      <w:tblGrid>
        <w:gridCol w:w="395"/>
        <w:gridCol w:w="533"/>
        <w:gridCol w:w="1057"/>
        <w:gridCol w:w="6243"/>
        <w:gridCol w:w="926"/>
        <w:gridCol w:w="929"/>
        <w:gridCol w:w="795"/>
        <w:gridCol w:w="932"/>
        <w:gridCol w:w="926"/>
        <w:gridCol w:w="929"/>
        <w:gridCol w:w="894"/>
      </w:tblGrid>
      <w:tr w:rsidR="00E34A6D" w:rsidRPr="002F0078" w14:paraId="056CAE02" w14:textId="77777777" w:rsidTr="00E34A6D">
        <w:trPr>
          <w:trHeight w:val="915"/>
        </w:trPr>
        <w:tc>
          <w:tcPr>
            <w:tcW w:w="136" w:type="pct"/>
            <w:tcBorders>
              <w:top w:val="single" w:sz="4" w:space="0" w:color="auto"/>
              <w:left w:val="single" w:sz="4" w:space="0" w:color="auto"/>
              <w:bottom w:val="nil"/>
              <w:right w:val="single" w:sz="4" w:space="0" w:color="auto"/>
            </w:tcBorders>
            <w:shd w:val="clear" w:color="000000" w:fill="D9D9D9"/>
            <w:hideMark/>
          </w:tcPr>
          <w:p w14:paraId="7A53C4C0" w14:textId="77777777" w:rsidR="00E34A6D" w:rsidRPr="002F0078" w:rsidRDefault="00E34A6D" w:rsidP="002F0078">
            <w:pPr>
              <w:spacing w:after="0" w:line="240" w:lineRule="auto"/>
              <w:ind w:left="-57" w:right="-57"/>
              <w:rPr>
                <w:rFonts w:ascii="Times New Roman" w:eastAsia="Times New Roman" w:hAnsi="Times New Roman" w:cs="Times New Roman"/>
                <w:b/>
                <w:bCs/>
                <w:color w:val="000000"/>
                <w:lang w:eastAsia="lt-LT"/>
              </w:rPr>
            </w:pPr>
            <w:r w:rsidRPr="002F0078">
              <w:rPr>
                <w:rFonts w:ascii="Times New Roman" w:eastAsia="Times New Roman" w:hAnsi="Times New Roman" w:cs="Times New Roman"/>
                <w:b/>
                <w:bCs/>
                <w:color w:val="000000"/>
                <w:lang w:eastAsia="lt-LT"/>
              </w:rPr>
              <w:t>Eil. Nr.</w:t>
            </w:r>
          </w:p>
        </w:tc>
        <w:tc>
          <w:tcPr>
            <w:tcW w:w="546" w:type="pct"/>
            <w:gridSpan w:val="2"/>
            <w:tcBorders>
              <w:top w:val="single" w:sz="4" w:space="0" w:color="auto"/>
              <w:left w:val="single" w:sz="4" w:space="0" w:color="auto"/>
              <w:bottom w:val="single" w:sz="4" w:space="0" w:color="auto"/>
              <w:right w:val="single" w:sz="4" w:space="0" w:color="auto"/>
            </w:tcBorders>
            <w:shd w:val="clear" w:color="000000" w:fill="D9D9D9"/>
            <w:hideMark/>
          </w:tcPr>
          <w:p w14:paraId="7AB00590" w14:textId="4543C8FD" w:rsidR="00E34A6D" w:rsidRPr="00EA4E9A" w:rsidRDefault="00E34A6D" w:rsidP="002F0078">
            <w:pPr>
              <w:spacing w:after="0" w:line="240" w:lineRule="auto"/>
              <w:ind w:left="-57" w:right="-57"/>
              <w:rPr>
                <w:rFonts w:ascii="Times New Roman" w:eastAsia="Times New Roman" w:hAnsi="Times New Roman" w:cs="Times New Roman"/>
                <w:b/>
                <w:bCs/>
                <w:color w:val="000000"/>
                <w:lang w:eastAsia="lt-LT"/>
              </w:rPr>
            </w:pPr>
            <w:r w:rsidRPr="00EA4E9A">
              <w:rPr>
                <w:rFonts w:ascii="Times New Roman" w:eastAsia="Times New Roman" w:hAnsi="Times New Roman" w:cs="Times New Roman"/>
                <w:b/>
                <w:bCs/>
                <w:color w:val="000000"/>
                <w:lang w:eastAsia="lt-LT"/>
              </w:rPr>
              <w:t>Kriterijus</w:t>
            </w:r>
          </w:p>
        </w:tc>
        <w:tc>
          <w:tcPr>
            <w:tcW w:w="2144" w:type="pct"/>
            <w:tcBorders>
              <w:top w:val="single" w:sz="4" w:space="0" w:color="auto"/>
              <w:left w:val="single" w:sz="4" w:space="0" w:color="auto"/>
              <w:bottom w:val="single" w:sz="4" w:space="0" w:color="auto"/>
              <w:right w:val="single" w:sz="4" w:space="0" w:color="auto"/>
            </w:tcBorders>
            <w:shd w:val="clear" w:color="000000" w:fill="D9D9D9"/>
            <w:hideMark/>
          </w:tcPr>
          <w:p w14:paraId="4DD26ECE" w14:textId="6CF15351" w:rsidR="00E34A6D" w:rsidRPr="00EA4E9A" w:rsidRDefault="00E34A6D" w:rsidP="002F0078">
            <w:pPr>
              <w:spacing w:after="0" w:line="240" w:lineRule="auto"/>
              <w:ind w:left="-57" w:right="-57"/>
              <w:rPr>
                <w:rFonts w:ascii="Times New Roman" w:eastAsia="Times New Roman" w:hAnsi="Times New Roman" w:cs="Times New Roman"/>
                <w:b/>
                <w:bCs/>
                <w:color w:val="000000"/>
                <w:lang w:eastAsia="lt-LT"/>
              </w:rPr>
            </w:pPr>
            <w:r w:rsidRPr="00EA4E9A">
              <w:rPr>
                <w:rFonts w:ascii="Times New Roman" w:eastAsia="Times New Roman" w:hAnsi="Times New Roman" w:cs="Times New Roman"/>
                <w:b/>
                <w:bCs/>
                <w:color w:val="000000"/>
                <w:lang w:eastAsia="lt-LT"/>
              </w:rPr>
              <w:t>Kriterijaus vertinimo metodas</w:t>
            </w:r>
          </w:p>
        </w:tc>
        <w:tc>
          <w:tcPr>
            <w:tcW w:w="318" w:type="pct"/>
            <w:tcBorders>
              <w:top w:val="single" w:sz="4" w:space="0" w:color="auto"/>
              <w:left w:val="single" w:sz="4" w:space="0" w:color="auto"/>
              <w:bottom w:val="single" w:sz="4" w:space="0" w:color="auto"/>
              <w:right w:val="single" w:sz="4" w:space="0" w:color="auto"/>
            </w:tcBorders>
            <w:shd w:val="clear" w:color="000000" w:fill="D9D9D9"/>
          </w:tcPr>
          <w:p w14:paraId="5D063435" w14:textId="4D36E3BE" w:rsidR="00E34A6D" w:rsidRPr="00EA4E9A" w:rsidRDefault="00E34A6D" w:rsidP="002F0078">
            <w:pPr>
              <w:spacing w:after="0" w:line="240" w:lineRule="auto"/>
              <w:ind w:left="-57" w:right="-57"/>
              <w:rPr>
                <w:rFonts w:ascii="Times New Roman" w:eastAsia="Times New Roman" w:hAnsi="Times New Roman" w:cs="Times New Roman"/>
                <w:b/>
                <w:bCs/>
                <w:color w:val="000000"/>
                <w:lang w:eastAsia="lt-LT"/>
              </w:rPr>
            </w:pPr>
            <w:r w:rsidRPr="00E34A6D">
              <w:rPr>
                <w:rFonts w:ascii="Times New Roman" w:eastAsia="Times New Roman" w:hAnsi="Times New Roman" w:cs="Times New Roman"/>
                <w:b/>
                <w:bCs/>
                <w:color w:val="000000"/>
                <w:lang w:eastAsia="lt-LT"/>
              </w:rPr>
              <w:t>Maksimalus galimas surinkti balas</w:t>
            </w:r>
          </w:p>
        </w:tc>
        <w:tc>
          <w:tcPr>
            <w:tcW w:w="318" w:type="pct"/>
            <w:tcBorders>
              <w:top w:val="single" w:sz="4" w:space="0" w:color="auto"/>
              <w:left w:val="single" w:sz="4" w:space="0" w:color="auto"/>
              <w:bottom w:val="single" w:sz="4" w:space="0" w:color="auto"/>
              <w:right w:val="single" w:sz="4" w:space="0" w:color="auto"/>
            </w:tcBorders>
            <w:shd w:val="clear" w:color="000000" w:fill="D9D9D9"/>
            <w:hideMark/>
          </w:tcPr>
          <w:p w14:paraId="1CF1BAAA" w14:textId="7496ECC5" w:rsidR="00E34A6D" w:rsidRPr="00EA4E9A" w:rsidRDefault="00E34A6D" w:rsidP="002F0078">
            <w:pPr>
              <w:spacing w:after="0" w:line="240" w:lineRule="auto"/>
              <w:ind w:left="-57" w:right="-57"/>
              <w:rPr>
                <w:rFonts w:ascii="Times New Roman" w:eastAsia="Times New Roman" w:hAnsi="Times New Roman" w:cs="Times New Roman"/>
                <w:b/>
                <w:bCs/>
                <w:color w:val="000000"/>
                <w:lang w:eastAsia="lt-LT"/>
              </w:rPr>
            </w:pPr>
            <w:r w:rsidRPr="00EA4E9A">
              <w:rPr>
                <w:rFonts w:ascii="Times New Roman" w:eastAsia="Times New Roman" w:hAnsi="Times New Roman" w:cs="Times New Roman"/>
                <w:b/>
                <w:bCs/>
                <w:color w:val="000000"/>
                <w:lang w:eastAsia="lt-LT"/>
              </w:rPr>
              <w:t>Didžiausias galimas kriterijaus balas</w:t>
            </w:r>
          </w:p>
        </w:tc>
        <w:tc>
          <w:tcPr>
            <w:tcW w:w="273" w:type="pct"/>
            <w:tcBorders>
              <w:top w:val="single" w:sz="4" w:space="0" w:color="auto"/>
              <w:left w:val="single" w:sz="4" w:space="0" w:color="auto"/>
              <w:bottom w:val="nil"/>
              <w:right w:val="single" w:sz="4" w:space="0" w:color="auto"/>
            </w:tcBorders>
            <w:shd w:val="clear" w:color="000000" w:fill="D9D9D9"/>
            <w:hideMark/>
          </w:tcPr>
          <w:p w14:paraId="0092DFD5" w14:textId="77777777" w:rsidR="00E34A6D" w:rsidRPr="00EA4E9A" w:rsidRDefault="00E34A6D" w:rsidP="002F0078">
            <w:pPr>
              <w:spacing w:after="0" w:line="240" w:lineRule="auto"/>
              <w:ind w:left="-57" w:right="-57"/>
              <w:rPr>
                <w:rFonts w:ascii="Times New Roman" w:eastAsia="Times New Roman" w:hAnsi="Times New Roman" w:cs="Times New Roman"/>
                <w:b/>
                <w:bCs/>
                <w:color w:val="000000"/>
                <w:lang w:eastAsia="lt-LT"/>
              </w:rPr>
            </w:pPr>
            <w:r w:rsidRPr="00EA4E9A">
              <w:rPr>
                <w:rFonts w:ascii="Times New Roman" w:eastAsia="Times New Roman" w:hAnsi="Times New Roman" w:cs="Times New Roman"/>
                <w:b/>
                <w:bCs/>
                <w:color w:val="000000"/>
                <w:lang w:eastAsia="lt-LT"/>
              </w:rPr>
              <w:t>Kriterijaus įvertinimas</w:t>
            </w:r>
          </w:p>
        </w:tc>
        <w:tc>
          <w:tcPr>
            <w:tcW w:w="320" w:type="pct"/>
            <w:tcBorders>
              <w:top w:val="single" w:sz="4" w:space="0" w:color="auto"/>
              <w:left w:val="single" w:sz="4" w:space="0" w:color="auto"/>
              <w:bottom w:val="nil"/>
              <w:right w:val="single" w:sz="4" w:space="0" w:color="auto"/>
            </w:tcBorders>
            <w:shd w:val="clear" w:color="000000" w:fill="D9D9D9"/>
            <w:hideMark/>
          </w:tcPr>
          <w:p w14:paraId="1DA19A37" w14:textId="412D0708" w:rsidR="00E34A6D" w:rsidRPr="00EA4E9A" w:rsidRDefault="00E34A6D" w:rsidP="002F0078">
            <w:pPr>
              <w:spacing w:after="0" w:line="240" w:lineRule="auto"/>
              <w:ind w:left="-57" w:right="-57"/>
              <w:rPr>
                <w:rFonts w:ascii="Times New Roman" w:eastAsia="Times New Roman" w:hAnsi="Times New Roman" w:cs="Times New Roman"/>
                <w:b/>
                <w:bCs/>
                <w:color w:val="000000"/>
                <w:lang w:eastAsia="lt-LT"/>
              </w:rPr>
            </w:pPr>
            <w:r w:rsidRPr="00EA4E9A">
              <w:rPr>
                <w:rFonts w:ascii="Times New Roman" w:eastAsia="Times New Roman" w:hAnsi="Times New Roman" w:cs="Times New Roman"/>
                <w:b/>
                <w:bCs/>
                <w:color w:val="000000"/>
                <w:lang w:eastAsia="lt-LT"/>
              </w:rPr>
              <w:t xml:space="preserve">Kriterijaus svorio koeficientas </w:t>
            </w:r>
            <w:r w:rsidRPr="00EA4E9A">
              <w:rPr>
                <w:rFonts w:ascii="Times New Roman" w:eastAsia="Times New Roman" w:hAnsi="Times New Roman" w:cs="Times New Roman"/>
                <w:i/>
                <w:iCs/>
                <w:color w:val="000000"/>
                <w:lang w:eastAsia="lt-LT"/>
              </w:rPr>
              <w:t>(jei taikoma)</w:t>
            </w:r>
          </w:p>
        </w:tc>
        <w:tc>
          <w:tcPr>
            <w:tcW w:w="318" w:type="pct"/>
            <w:tcBorders>
              <w:top w:val="single" w:sz="4" w:space="0" w:color="auto"/>
              <w:left w:val="single" w:sz="4" w:space="0" w:color="auto"/>
              <w:bottom w:val="nil"/>
              <w:right w:val="single" w:sz="4" w:space="0" w:color="auto"/>
            </w:tcBorders>
            <w:shd w:val="clear" w:color="000000" w:fill="D9D9D9"/>
            <w:hideMark/>
          </w:tcPr>
          <w:p w14:paraId="5BA5ED6C" w14:textId="77777777" w:rsidR="00E34A6D" w:rsidRPr="00EA4E9A" w:rsidRDefault="00E34A6D" w:rsidP="002F0078">
            <w:pPr>
              <w:spacing w:after="0" w:line="240" w:lineRule="auto"/>
              <w:ind w:left="-57" w:right="-57"/>
              <w:rPr>
                <w:rFonts w:ascii="Times New Roman" w:eastAsia="Times New Roman" w:hAnsi="Times New Roman" w:cs="Times New Roman"/>
                <w:b/>
                <w:bCs/>
                <w:color w:val="000000"/>
                <w:lang w:eastAsia="lt-LT"/>
              </w:rPr>
            </w:pPr>
            <w:r w:rsidRPr="00EA4E9A">
              <w:rPr>
                <w:rFonts w:ascii="Times New Roman" w:eastAsia="Times New Roman" w:hAnsi="Times New Roman" w:cs="Times New Roman"/>
                <w:b/>
                <w:bCs/>
                <w:color w:val="000000"/>
                <w:lang w:eastAsia="lt-LT"/>
              </w:rPr>
              <w:t>Suteiktų balų skaičius</w:t>
            </w:r>
          </w:p>
        </w:tc>
        <w:tc>
          <w:tcPr>
            <w:tcW w:w="319" w:type="pct"/>
            <w:tcBorders>
              <w:top w:val="single" w:sz="4" w:space="0" w:color="auto"/>
              <w:left w:val="single" w:sz="4" w:space="0" w:color="auto"/>
              <w:bottom w:val="nil"/>
              <w:right w:val="single" w:sz="4" w:space="0" w:color="auto"/>
            </w:tcBorders>
            <w:shd w:val="clear" w:color="000000" w:fill="D9D9D9"/>
            <w:hideMark/>
          </w:tcPr>
          <w:p w14:paraId="07922B7B" w14:textId="77777777" w:rsidR="00E34A6D" w:rsidRPr="002F0078" w:rsidRDefault="00E34A6D" w:rsidP="002F0078">
            <w:pPr>
              <w:spacing w:after="0" w:line="240" w:lineRule="auto"/>
              <w:ind w:left="-57" w:right="-57"/>
              <w:rPr>
                <w:rFonts w:ascii="Times New Roman" w:eastAsia="Times New Roman" w:hAnsi="Times New Roman" w:cs="Times New Roman"/>
                <w:b/>
                <w:bCs/>
                <w:color w:val="000000"/>
                <w:lang w:eastAsia="lt-LT"/>
              </w:rPr>
            </w:pPr>
            <w:r w:rsidRPr="002F0078">
              <w:rPr>
                <w:rFonts w:ascii="Times New Roman" w:eastAsia="Times New Roman" w:hAnsi="Times New Roman" w:cs="Times New Roman"/>
                <w:b/>
                <w:bCs/>
                <w:color w:val="000000"/>
                <w:lang w:eastAsia="lt-LT"/>
              </w:rPr>
              <w:t>Minimalus privalomas surinkti balų skaičius</w:t>
            </w:r>
          </w:p>
        </w:tc>
        <w:tc>
          <w:tcPr>
            <w:tcW w:w="307" w:type="pct"/>
            <w:tcBorders>
              <w:top w:val="single" w:sz="4" w:space="0" w:color="auto"/>
              <w:left w:val="single" w:sz="4" w:space="0" w:color="auto"/>
              <w:bottom w:val="nil"/>
              <w:right w:val="single" w:sz="4" w:space="0" w:color="auto"/>
            </w:tcBorders>
            <w:shd w:val="clear" w:color="000000" w:fill="D9D9D9"/>
            <w:hideMark/>
          </w:tcPr>
          <w:p w14:paraId="0D9AC462" w14:textId="77777777" w:rsidR="00E34A6D" w:rsidRPr="002F0078" w:rsidRDefault="00E34A6D" w:rsidP="002F0078">
            <w:pPr>
              <w:spacing w:after="0" w:line="240" w:lineRule="auto"/>
              <w:ind w:left="-57" w:right="-57"/>
              <w:rPr>
                <w:rFonts w:ascii="Times New Roman" w:eastAsia="Times New Roman" w:hAnsi="Times New Roman" w:cs="Times New Roman"/>
                <w:b/>
                <w:bCs/>
                <w:color w:val="000000"/>
                <w:lang w:eastAsia="lt-LT"/>
              </w:rPr>
            </w:pPr>
            <w:r w:rsidRPr="002F0078">
              <w:rPr>
                <w:rFonts w:ascii="Times New Roman" w:eastAsia="Times New Roman" w:hAnsi="Times New Roman" w:cs="Times New Roman"/>
                <w:b/>
                <w:bCs/>
                <w:color w:val="000000"/>
                <w:lang w:eastAsia="lt-LT"/>
              </w:rPr>
              <w:t>Komentarai</w:t>
            </w:r>
          </w:p>
        </w:tc>
      </w:tr>
      <w:tr w:rsidR="00E34A6D" w:rsidRPr="002F0078" w14:paraId="76685C02" w14:textId="77777777" w:rsidTr="00E34A6D">
        <w:trPr>
          <w:trHeight w:val="1388"/>
        </w:trPr>
        <w:tc>
          <w:tcPr>
            <w:tcW w:w="136" w:type="pct"/>
            <w:tcBorders>
              <w:top w:val="single" w:sz="4" w:space="0" w:color="auto"/>
              <w:left w:val="single" w:sz="4" w:space="0" w:color="auto"/>
              <w:bottom w:val="nil"/>
              <w:right w:val="single" w:sz="4" w:space="0" w:color="auto"/>
            </w:tcBorders>
            <w:noWrap/>
            <w:hideMark/>
          </w:tcPr>
          <w:p w14:paraId="355C445D" w14:textId="20207D55" w:rsidR="00E34A6D" w:rsidRPr="002F0078" w:rsidRDefault="00E34A6D" w:rsidP="000333E0">
            <w:pPr>
              <w:spacing w:after="0" w:line="240" w:lineRule="auto"/>
              <w:ind w:left="-57" w:right="-57"/>
              <w:rPr>
                <w:rFonts w:ascii="Times New Roman" w:eastAsia="Times New Roman" w:hAnsi="Times New Roman" w:cs="Times New Roman"/>
                <w:color w:val="000000"/>
                <w:lang w:eastAsia="lt-LT"/>
              </w:rPr>
            </w:pPr>
            <w:r w:rsidRPr="002F0078">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w:t>
            </w:r>
          </w:p>
        </w:tc>
        <w:tc>
          <w:tcPr>
            <w:tcW w:w="546"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B7821F" w14:textId="594F3995" w:rsidR="00E34A6D" w:rsidRPr="0082311B" w:rsidRDefault="00E34A6D" w:rsidP="000333E0">
            <w:pPr>
              <w:spacing w:after="0" w:line="240" w:lineRule="auto"/>
              <w:ind w:left="-57" w:right="-57"/>
              <w:rPr>
                <w:rFonts w:ascii="Times New Roman" w:eastAsia="Times New Roman" w:hAnsi="Times New Roman" w:cs="Times New Roman"/>
                <w:i/>
                <w:iCs/>
                <w:color w:val="000000"/>
                <w:lang w:eastAsia="lt-LT"/>
              </w:rPr>
            </w:pPr>
            <w:r w:rsidRPr="0082311B">
              <w:rPr>
                <w:rFonts w:ascii="Times New Roman" w:hAnsi="Times New Roman" w:cs="Times New Roman"/>
              </w:rPr>
              <w:t>Vandenilio pildymo punkto įrengimo vieta</w:t>
            </w:r>
          </w:p>
        </w:tc>
        <w:tc>
          <w:tcPr>
            <w:tcW w:w="2144"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7959FAD" w14:textId="0464A655" w:rsidR="00E34A6D" w:rsidRPr="0082311B" w:rsidRDefault="00E34A6D" w:rsidP="00CC6904">
            <w:pPr>
              <w:spacing w:after="0" w:line="240" w:lineRule="auto"/>
              <w:ind w:left="-57" w:right="-57"/>
              <w:rPr>
                <w:rFonts w:ascii="Times New Roman" w:hAnsi="Times New Roman" w:cs="Times New Roman"/>
                <w:color w:val="000000"/>
                <w:shd w:val="clear" w:color="auto" w:fill="FFFFFF"/>
              </w:rPr>
            </w:pPr>
            <w:r w:rsidRPr="0082311B">
              <w:rPr>
                <w:rFonts w:ascii="Times New Roman" w:hAnsi="Times New Roman" w:cs="Times New Roman"/>
                <w:color w:val="000000"/>
                <w:shd w:val="clear" w:color="auto" w:fill="FFFFFF"/>
              </w:rPr>
              <w:t>50 balų suteikiama, jei punktas įrengiamas prie TEN-T pagrindiniam tinklui</w:t>
            </w:r>
            <w:r>
              <w:rPr>
                <w:rFonts w:ascii="Times New Roman" w:hAnsi="Times New Roman" w:cs="Times New Roman"/>
                <w:color w:val="000000"/>
                <w:shd w:val="clear" w:color="auto" w:fill="FFFFFF"/>
              </w:rPr>
              <w:t>*</w:t>
            </w:r>
            <w:r w:rsidRPr="0082311B">
              <w:rPr>
                <w:rFonts w:ascii="Times New Roman" w:hAnsi="Times New Roman" w:cs="Times New Roman"/>
                <w:color w:val="000000"/>
                <w:shd w:val="clear" w:color="auto" w:fill="FFFFFF"/>
              </w:rPr>
              <w:t xml:space="preserve"> priklausančio kelio A1 Vilnius–Kaunas–Klaipėda ar A5 Kaunas–Marijampolė–Suvalkai arba ne didesniu kaip 10 km atstumu nuo artimiausio išvažiavimo iš minėtų kelių, kurie yra Kauno miesto transporto mazge</w:t>
            </w:r>
            <w:r>
              <w:rPr>
                <w:rFonts w:ascii="Times New Roman" w:hAnsi="Times New Roman" w:cs="Times New Roman"/>
                <w:color w:val="000000"/>
                <w:shd w:val="clear" w:color="auto" w:fill="FFFFFF"/>
                <w:lang w:val="en-US"/>
              </w:rPr>
              <w:t>**</w:t>
            </w:r>
            <w:r w:rsidRPr="0082311B">
              <w:rPr>
                <w:rFonts w:ascii="Times New Roman" w:hAnsi="Times New Roman" w:cs="Times New Roman"/>
                <w:color w:val="000000"/>
                <w:shd w:val="clear" w:color="auto" w:fill="FFFFFF"/>
              </w:rPr>
              <w:t>; arba įrengiami ne mažiau kaip du punktai dviejų skirtingų miestų – Vilniaus, Kauno, Šiaulių, Panevėžio –  transporto mazguose.</w:t>
            </w:r>
          </w:p>
          <w:p w14:paraId="521B79A7" w14:textId="77777777" w:rsidR="00E34A6D" w:rsidRPr="0082311B" w:rsidRDefault="00E34A6D" w:rsidP="00CC6904">
            <w:pPr>
              <w:spacing w:after="0" w:line="240" w:lineRule="auto"/>
              <w:ind w:left="-57" w:right="-57"/>
              <w:rPr>
                <w:rFonts w:ascii="Times New Roman" w:hAnsi="Times New Roman" w:cs="Times New Roman"/>
                <w:color w:val="000000"/>
                <w:shd w:val="clear" w:color="auto" w:fill="FFFFFF"/>
              </w:rPr>
            </w:pPr>
          </w:p>
          <w:p w14:paraId="0316D24A" w14:textId="77777777" w:rsidR="00E34A6D" w:rsidRPr="0082311B" w:rsidRDefault="00E34A6D" w:rsidP="00CC6904">
            <w:pPr>
              <w:spacing w:after="0" w:line="240" w:lineRule="auto"/>
              <w:ind w:left="-57" w:right="-57"/>
              <w:rPr>
                <w:rFonts w:ascii="Times New Roman" w:hAnsi="Times New Roman" w:cs="Times New Roman"/>
                <w:color w:val="000000"/>
                <w:shd w:val="clear" w:color="auto" w:fill="FFFFFF"/>
              </w:rPr>
            </w:pPr>
            <w:r w:rsidRPr="0082311B">
              <w:rPr>
                <w:rFonts w:ascii="Times New Roman" w:hAnsi="Times New Roman" w:cs="Times New Roman"/>
                <w:color w:val="000000"/>
                <w:shd w:val="clear" w:color="auto" w:fill="FFFFFF"/>
              </w:rPr>
              <w:t xml:space="preserve">40 balų suteikiama, jei punktas įrengiamas prie TEN-T pagrindiniam tinklui priklausančio kelio A1 Vilnius–Kaunas–Klaipėda ar A5 Kaunas–Marijampolė–Suvalkai arba ne didesniu kaip 10 km atstumu nuo artimiausio išvažiavimo iš minėtų kelių, kurie yra Kauno rajono savivaldybėje. </w:t>
            </w:r>
          </w:p>
          <w:p w14:paraId="1D8E1376" w14:textId="77777777" w:rsidR="00E34A6D" w:rsidRPr="0082311B" w:rsidRDefault="00E34A6D" w:rsidP="00CC6904">
            <w:pPr>
              <w:spacing w:after="0" w:line="240" w:lineRule="auto"/>
              <w:ind w:left="-57" w:right="-57"/>
              <w:rPr>
                <w:rFonts w:ascii="Times New Roman" w:hAnsi="Times New Roman" w:cs="Times New Roman"/>
                <w:color w:val="000000"/>
                <w:shd w:val="clear" w:color="auto" w:fill="FFFFFF"/>
              </w:rPr>
            </w:pPr>
          </w:p>
          <w:p w14:paraId="6E8D60A5" w14:textId="77777777" w:rsidR="00E34A6D" w:rsidRPr="0082311B" w:rsidRDefault="00E34A6D" w:rsidP="00CC6904">
            <w:pPr>
              <w:spacing w:after="0" w:line="240" w:lineRule="auto"/>
              <w:ind w:left="-57" w:right="-57"/>
              <w:rPr>
                <w:rFonts w:ascii="Times New Roman" w:hAnsi="Times New Roman" w:cs="Times New Roman"/>
                <w:color w:val="000000"/>
                <w:shd w:val="clear" w:color="auto" w:fill="FFFFFF"/>
              </w:rPr>
            </w:pPr>
            <w:r w:rsidRPr="0082311B">
              <w:rPr>
                <w:rFonts w:ascii="Times New Roman" w:hAnsi="Times New Roman" w:cs="Times New Roman"/>
                <w:color w:val="000000"/>
                <w:shd w:val="clear" w:color="auto" w:fill="FFFFFF"/>
              </w:rPr>
              <w:t xml:space="preserve">30 balų suteikiama, jei punktas įrengiamas prie TEN-T pagrindiniam tinklui priklausančio kelio A1 Vilnius–Kaunas–Klaipėda, A5 Kaunas–Marijampolė–Suvalkai, A8 Kaunas–Panevėžys, A10 Panevėžys–Pasvalys–Ryga, A17 Panevėžio aplinkkelis, išskyrus kelio A1 dalį, esančią Klaipėdos apskrityje, arba ne didesniu kaip 10 km atstumu nuo artimiausio išvažiavimo iš minėtų kelių; </w:t>
            </w:r>
          </w:p>
          <w:p w14:paraId="40C1956C" w14:textId="77777777" w:rsidR="00E34A6D" w:rsidRPr="0082311B" w:rsidRDefault="00E34A6D" w:rsidP="00CC6904">
            <w:pPr>
              <w:spacing w:after="0" w:line="240" w:lineRule="auto"/>
              <w:ind w:left="-57" w:right="-57"/>
              <w:rPr>
                <w:rFonts w:ascii="Times New Roman" w:hAnsi="Times New Roman" w:cs="Times New Roman"/>
                <w:color w:val="000000"/>
                <w:shd w:val="clear" w:color="auto" w:fill="FFFFFF"/>
              </w:rPr>
            </w:pPr>
            <w:r w:rsidRPr="0082311B">
              <w:rPr>
                <w:rFonts w:ascii="Times New Roman" w:hAnsi="Times New Roman" w:cs="Times New Roman"/>
                <w:color w:val="000000"/>
                <w:shd w:val="clear" w:color="auto" w:fill="FFFFFF"/>
              </w:rPr>
              <w:t>arba Vilniaus, Kauno, Šiaulių, Panevėžio miestų transporto mazguose arba ne didesniu kaip 10 km atstumu nuo miesto zonos ribos esančiuose uostuose, įskaitant keleivių terminalus,   oro uostuose, geležinkelio stotyse, autobusų terminaluose / stotyse, logistikos centruose bei krovinių terminaluose.</w:t>
            </w:r>
          </w:p>
          <w:p w14:paraId="5D8E3742" w14:textId="77777777" w:rsidR="00E34A6D" w:rsidRPr="0082311B" w:rsidRDefault="00E34A6D" w:rsidP="00CC6904">
            <w:pPr>
              <w:spacing w:after="0" w:line="240" w:lineRule="auto"/>
              <w:ind w:left="-57" w:right="-57"/>
              <w:rPr>
                <w:rFonts w:ascii="Times New Roman" w:hAnsi="Times New Roman" w:cs="Times New Roman"/>
                <w:color w:val="000000"/>
                <w:shd w:val="clear" w:color="auto" w:fill="FFFFFF"/>
              </w:rPr>
            </w:pPr>
          </w:p>
          <w:p w14:paraId="2E07AD0A" w14:textId="33EAD5D0" w:rsidR="00E34A6D" w:rsidRPr="0082311B" w:rsidRDefault="00E34A6D" w:rsidP="00CC6904">
            <w:pPr>
              <w:spacing w:after="0" w:line="240" w:lineRule="auto"/>
              <w:ind w:left="-57" w:right="-57"/>
              <w:rPr>
                <w:rFonts w:ascii="Times New Roman" w:hAnsi="Times New Roman" w:cs="Times New Roman"/>
                <w:color w:val="000000"/>
                <w:shd w:val="clear" w:color="auto" w:fill="FFFFFF"/>
              </w:rPr>
            </w:pPr>
            <w:r w:rsidRPr="0082311B">
              <w:rPr>
                <w:rFonts w:ascii="Times New Roman" w:hAnsi="Times New Roman" w:cs="Times New Roman"/>
                <w:color w:val="000000"/>
                <w:shd w:val="clear" w:color="auto" w:fill="FFFFFF"/>
              </w:rPr>
              <w:t>10 balų suteikiama, jei punktas įrengiamas kitose vietose, išskyrus Klaipėdos apskritį, kurios nepatenka į aprašytas kategorijas.</w:t>
            </w:r>
          </w:p>
        </w:tc>
        <w:tc>
          <w:tcPr>
            <w:tcW w:w="318" w:type="pct"/>
            <w:tcBorders>
              <w:top w:val="single" w:sz="4" w:space="0" w:color="auto"/>
              <w:left w:val="single" w:sz="4" w:space="0" w:color="auto"/>
              <w:bottom w:val="single" w:sz="4" w:space="0" w:color="auto"/>
              <w:right w:val="single" w:sz="4" w:space="0" w:color="auto"/>
            </w:tcBorders>
          </w:tcPr>
          <w:p w14:paraId="71848314" w14:textId="1BFB0CC1" w:rsidR="00E34A6D" w:rsidRPr="00486E60" w:rsidRDefault="00E34A6D" w:rsidP="000333E0">
            <w:pPr>
              <w:spacing w:after="0" w:line="240" w:lineRule="auto"/>
              <w:ind w:left="-57" w:right="-57"/>
              <w:rPr>
                <w:rFonts w:ascii="Times New Roman" w:eastAsia="Times New Roman" w:hAnsi="Times New Roman" w:cs="Times New Roman"/>
                <w:lang w:eastAsia="lt-LT"/>
              </w:rPr>
            </w:pPr>
            <w:r>
              <w:rPr>
                <w:rFonts w:ascii="Times New Roman" w:eastAsia="Times New Roman" w:hAnsi="Times New Roman" w:cs="Times New Roman"/>
                <w:lang w:eastAsia="lt-LT"/>
              </w:rPr>
              <w:t>50</w:t>
            </w:r>
          </w:p>
        </w:tc>
        <w:tc>
          <w:tcPr>
            <w:tcW w:w="318" w:type="pct"/>
            <w:tcBorders>
              <w:top w:val="single" w:sz="4" w:space="0" w:color="auto"/>
              <w:left w:val="single" w:sz="4" w:space="0" w:color="auto"/>
              <w:bottom w:val="single" w:sz="4" w:space="0" w:color="auto"/>
              <w:right w:val="single" w:sz="4" w:space="0" w:color="auto"/>
            </w:tcBorders>
            <w:hideMark/>
          </w:tcPr>
          <w:p w14:paraId="778620F0" w14:textId="520DABCC" w:rsidR="00E34A6D" w:rsidRPr="00486E60" w:rsidRDefault="00E34A6D" w:rsidP="000333E0">
            <w:pPr>
              <w:spacing w:after="0" w:line="240" w:lineRule="auto"/>
              <w:ind w:left="-57" w:right="-57"/>
              <w:rPr>
                <w:rFonts w:ascii="Times New Roman" w:eastAsia="Times New Roman" w:hAnsi="Times New Roman" w:cs="Times New Roman"/>
                <w:lang w:eastAsia="lt-LT"/>
              </w:rPr>
            </w:pPr>
            <w:r w:rsidRPr="00486E60">
              <w:rPr>
                <w:rFonts w:ascii="Times New Roman" w:eastAsia="Times New Roman" w:hAnsi="Times New Roman" w:cs="Times New Roman"/>
                <w:lang w:eastAsia="lt-LT"/>
              </w:rPr>
              <w:t>50</w:t>
            </w:r>
          </w:p>
        </w:tc>
        <w:tc>
          <w:tcPr>
            <w:tcW w:w="273" w:type="pct"/>
            <w:tcBorders>
              <w:top w:val="single" w:sz="4" w:space="0" w:color="auto"/>
              <w:left w:val="single" w:sz="4" w:space="0" w:color="auto"/>
              <w:bottom w:val="single" w:sz="4" w:space="0" w:color="auto"/>
              <w:right w:val="single" w:sz="4" w:space="0" w:color="auto"/>
            </w:tcBorders>
          </w:tcPr>
          <w:p w14:paraId="6FAA7BE3" w14:textId="1894ECDE" w:rsidR="00E34A6D" w:rsidRPr="00486E60" w:rsidRDefault="00E34A6D" w:rsidP="000333E0">
            <w:pPr>
              <w:spacing w:after="0" w:line="240" w:lineRule="auto"/>
              <w:ind w:left="-57" w:right="-57"/>
              <w:rPr>
                <w:rFonts w:ascii="Times New Roman" w:eastAsia="Times New Roman" w:hAnsi="Times New Roman" w:cs="Times New Roman"/>
                <w:lang w:eastAsia="lt-LT"/>
              </w:rPr>
            </w:pPr>
          </w:p>
        </w:tc>
        <w:tc>
          <w:tcPr>
            <w:tcW w:w="320" w:type="pct"/>
            <w:tcBorders>
              <w:top w:val="single" w:sz="4" w:space="0" w:color="auto"/>
              <w:left w:val="single" w:sz="4" w:space="0" w:color="auto"/>
              <w:bottom w:val="single" w:sz="4" w:space="0" w:color="auto"/>
              <w:right w:val="single" w:sz="4" w:space="0" w:color="auto"/>
            </w:tcBorders>
            <w:hideMark/>
          </w:tcPr>
          <w:p w14:paraId="7A5FB876" w14:textId="09AE9362" w:rsidR="00E34A6D" w:rsidRPr="00486E60" w:rsidRDefault="00E34A6D" w:rsidP="000333E0">
            <w:pPr>
              <w:spacing w:after="0" w:line="240" w:lineRule="auto"/>
              <w:ind w:left="-57" w:right="-57"/>
              <w:rPr>
                <w:rFonts w:ascii="Times New Roman" w:eastAsia="Times New Roman" w:hAnsi="Times New Roman" w:cs="Times New Roman"/>
                <w:lang w:eastAsia="lt-LT"/>
              </w:rPr>
            </w:pPr>
            <w:r w:rsidRPr="00486E60">
              <w:rPr>
                <w:rFonts w:ascii="Times New Roman" w:eastAsia="Times New Roman" w:hAnsi="Times New Roman" w:cs="Times New Roman"/>
                <w:lang w:eastAsia="lt-LT"/>
              </w:rPr>
              <w:t>-</w:t>
            </w:r>
          </w:p>
        </w:tc>
        <w:tc>
          <w:tcPr>
            <w:tcW w:w="318" w:type="pct"/>
            <w:tcBorders>
              <w:top w:val="single" w:sz="4" w:space="0" w:color="auto"/>
              <w:left w:val="single" w:sz="4" w:space="0" w:color="auto"/>
              <w:bottom w:val="single" w:sz="4" w:space="0" w:color="auto"/>
              <w:right w:val="single" w:sz="4" w:space="0" w:color="auto"/>
            </w:tcBorders>
          </w:tcPr>
          <w:p w14:paraId="45347097" w14:textId="027BD0EF" w:rsidR="00E34A6D" w:rsidRPr="00486E60" w:rsidRDefault="00E34A6D" w:rsidP="000333E0">
            <w:pPr>
              <w:spacing w:after="0" w:line="240" w:lineRule="auto"/>
              <w:ind w:left="-57" w:right="-57"/>
              <w:rPr>
                <w:rFonts w:ascii="Times New Roman" w:eastAsia="Times New Roman" w:hAnsi="Times New Roman" w:cs="Times New Roman"/>
                <w:i/>
                <w:iCs/>
                <w:lang w:eastAsia="lt-LT"/>
              </w:rPr>
            </w:pPr>
          </w:p>
        </w:tc>
        <w:tc>
          <w:tcPr>
            <w:tcW w:w="319" w:type="pct"/>
            <w:tcBorders>
              <w:top w:val="single" w:sz="4" w:space="0" w:color="auto"/>
              <w:left w:val="single" w:sz="4" w:space="0" w:color="auto"/>
              <w:bottom w:val="single" w:sz="4" w:space="0" w:color="auto"/>
              <w:right w:val="single" w:sz="4" w:space="0" w:color="auto"/>
            </w:tcBorders>
          </w:tcPr>
          <w:p w14:paraId="07D03616" w14:textId="1647CDA3" w:rsidR="00E34A6D" w:rsidRPr="00486E60" w:rsidRDefault="00E34A6D" w:rsidP="0089458C">
            <w:pPr>
              <w:spacing w:after="0" w:line="240" w:lineRule="auto"/>
              <w:ind w:left="-57" w:right="-57"/>
              <w:rPr>
                <w:rFonts w:ascii="Times New Roman" w:eastAsia="Times New Roman" w:hAnsi="Times New Roman" w:cs="Times New Roman"/>
                <w:iCs/>
                <w:lang w:eastAsia="lt-LT"/>
              </w:rPr>
            </w:pPr>
          </w:p>
        </w:tc>
        <w:tc>
          <w:tcPr>
            <w:tcW w:w="307" w:type="pct"/>
            <w:tcBorders>
              <w:top w:val="single" w:sz="4" w:space="0" w:color="auto"/>
              <w:left w:val="single" w:sz="4" w:space="0" w:color="auto"/>
              <w:bottom w:val="single" w:sz="4" w:space="0" w:color="auto"/>
              <w:right w:val="single" w:sz="4" w:space="0" w:color="auto"/>
            </w:tcBorders>
            <w:hideMark/>
          </w:tcPr>
          <w:p w14:paraId="59B7ACAD" w14:textId="54B5CC8F" w:rsidR="00E34A6D" w:rsidRPr="002F0078" w:rsidRDefault="00E34A6D" w:rsidP="000333E0">
            <w:pPr>
              <w:spacing w:after="0" w:line="240" w:lineRule="auto"/>
              <w:ind w:left="-57" w:right="-57"/>
              <w:rPr>
                <w:rFonts w:ascii="Times New Roman" w:eastAsia="Times New Roman" w:hAnsi="Times New Roman" w:cs="Times New Roman"/>
                <w:i/>
                <w:iCs/>
                <w:color w:val="000000"/>
                <w:sz w:val="20"/>
                <w:szCs w:val="20"/>
                <w:lang w:eastAsia="lt-LT"/>
              </w:rPr>
            </w:pPr>
          </w:p>
        </w:tc>
      </w:tr>
      <w:tr w:rsidR="00E34A6D" w:rsidRPr="002F0078" w14:paraId="0EFF391A" w14:textId="77777777" w:rsidTr="00E34A6D">
        <w:trPr>
          <w:trHeight w:val="300"/>
        </w:trPr>
        <w:tc>
          <w:tcPr>
            <w:tcW w:w="136" w:type="pct"/>
            <w:tcBorders>
              <w:top w:val="single" w:sz="4" w:space="0" w:color="auto"/>
              <w:left w:val="single" w:sz="4" w:space="0" w:color="auto"/>
              <w:bottom w:val="single" w:sz="4" w:space="0" w:color="auto"/>
              <w:right w:val="single" w:sz="4" w:space="0" w:color="auto"/>
            </w:tcBorders>
            <w:noWrap/>
            <w:hideMark/>
          </w:tcPr>
          <w:p w14:paraId="1C9EBFE6" w14:textId="1C84AB5B" w:rsidR="00E34A6D" w:rsidRPr="002F0078" w:rsidRDefault="00E34A6D" w:rsidP="00486E60">
            <w:pPr>
              <w:spacing w:after="0" w:line="240" w:lineRule="auto"/>
              <w:ind w:left="-57" w:right="-57"/>
              <w:rPr>
                <w:rFonts w:ascii="Times New Roman" w:eastAsia="Times New Roman" w:hAnsi="Times New Roman" w:cs="Times New Roman"/>
                <w:color w:val="000000"/>
                <w:lang w:eastAsia="lt-LT"/>
              </w:rPr>
            </w:pPr>
            <w:r w:rsidRPr="002F0078">
              <w:rPr>
                <w:rFonts w:ascii="Times New Roman" w:eastAsia="Times New Roman" w:hAnsi="Times New Roman" w:cs="Times New Roman"/>
                <w:color w:val="000000"/>
                <w:lang w:eastAsia="lt-LT"/>
              </w:rPr>
              <w:t>2</w:t>
            </w:r>
            <w:r>
              <w:rPr>
                <w:rFonts w:ascii="Times New Roman" w:eastAsia="Times New Roman" w:hAnsi="Times New Roman" w:cs="Times New Roman"/>
                <w:color w:val="000000"/>
                <w:lang w:eastAsia="lt-LT"/>
              </w:rPr>
              <w:t>.</w:t>
            </w:r>
          </w:p>
        </w:tc>
        <w:tc>
          <w:tcPr>
            <w:tcW w:w="546"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noWrap/>
            <w:hideMark/>
          </w:tcPr>
          <w:p w14:paraId="1134A81C" w14:textId="6F07AF48" w:rsidR="00E34A6D" w:rsidRPr="0082311B" w:rsidRDefault="00E34A6D" w:rsidP="00486E60">
            <w:pPr>
              <w:spacing w:after="0" w:line="240" w:lineRule="auto"/>
              <w:ind w:left="-57" w:right="-57"/>
              <w:rPr>
                <w:rFonts w:ascii="Times New Roman" w:eastAsia="Times New Roman" w:hAnsi="Times New Roman" w:cs="Times New Roman"/>
                <w:color w:val="000000"/>
                <w:lang w:eastAsia="lt-LT"/>
              </w:rPr>
            </w:pPr>
            <w:r w:rsidRPr="0082311B">
              <w:rPr>
                <w:rFonts w:ascii="Times New Roman" w:hAnsi="Times New Roman" w:cs="Times New Roman"/>
              </w:rPr>
              <w:t>Vandenilio pildymo punkto pajėgumas</w:t>
            </w:r>
          </w:p>
        </w:tc>
        <w:tc>
          <w:tcPr>
            <w:tcW w:w="2144"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hideMark/>
          </w:tcPr>
          <w:p w14:paraId="4397AA72" w14:textId="77777777" w:rsidR="00E34A6D" w:rsidRPr="0082311B" w:rsidRDefault="00E34A6D" w:rsidP="0082311B">
            <w:pPr>
              <w:spacing w:after="0" w:line="240" w:lineRule="auto"/>
              <w:jc w:val="both"/>
              <w:rPr>
                <w:rFonts w:ascii="Times New Roman" w:eastAsia="Times New Roman" w:hAnsi="Times New Roman" w:cs="Times New Roman"/>
              </w:rPr>
            </w:pPr>
            <w:r w:rsidRPr="0082311B">
              <w:rPr>
                <w:rFonts w:ascii="Times New Roman" w:eastAsia="Times New Roman" w:hAnsi="Times New Roman" w:cs="Times New Roman"/>
              </w:rPr>
              <w:t>30 balų suteikiama, jei pajėgumas 1 000 kg per parą ir daugiau.</w:t>
            </w:r>
          </w:p>
          <w:p w14:paraId="2C72BE4B" w14:textId="77777777" w:rsidR="00E34A6D" w:rsidRPr="0082311B" w:rsidRDefault="00E34A6D" w:rsidP="0082311B">
            <w:pPr>
              <w:spacing w:after="0" w:line="240" w:lineRule="auto"/>
              <w:jc w:val="both"/>
              <w:rPr>
                <w:rFonts w:ascii="Times New Roman" w:eastAsia="Times New Roman" w:hAnsi="Times New Roman" w:cs="Times New Roman"/>
              </w:rPr>
            </w:pPr>
            <w:r w:rsidRPr="0082311B">
              <w:rPr>
                <w:rFonts w:ascii="Times New Roman" w:eastAsia="Times New Roman" w:hAnsi="Times New Roman" w:cs="Times New Roman"/>
              </w:rPr>
              <w:t xml:space="preserve">20 balų suteikiama, jei pajėgumas </w:t>
            </w:r>
            <w:r w:rsidRPr="0082311B">
              <w:rPr>
                <w:rFonts w:ascii="Times New Roman" w:eastAsia="Times New Roman" w:hAnsi="Times New Roman" w:cs="Times New Roman"/>
                <w:lang w:val="en-US"/>
              </w:rPr>
              <w:t>500</w:t>
            </w:r>
            <w:r w:rsidRPr="0082311B">
              <w:rPr>
                <w:rFonts w:ascii="Times New Roman" w:eastAsia="Times New Roman" w:hAnsi="Times New Roman" w:cs="Times New Roman"/>
              </w:rPr>
              <w:t>–</w:t>
            </w:r>
            <w:r w:rsidRPr="0082311B">
              <w:rPr>
                <w:rFonts w:ascii="Times New Roman" w:eastAsia="Times New Roman" w:hAnsi="Times New Roman" w:cs="Times New Roman"/>
                <w:lang w:val="en-US"/>
              </w:rPr>
              <w:t>999 kg</w:t>
            </w:r>
            <w:r w:rsidRPr="0082311B">
              <w:rPr>
                <w:rFonts w:ascii="Times New Roman" w:eastAsia="Times New Roman" w:hAnsi="Times New Roman" w:cs="Times New Roman"/>
              </w:rPr>
              <w:t xml:space="preserve"> per parą.</w:t>
            </w:r>
          </w:p>
          <w:p w14:paraId="48FB05C8" w14:textId="77777777" w:rsidR="00E34A6D" w:rsidRPr="0082311B" w:rsidRDefault="00E34A6D" w:rsidP="0082311B">
            <w:pPr>
              <w:spacing w:after="0" w:line="240" w:lineRule="auto"/>
              <w:jc w:val="both"/>
              <w:rPr>
                <w:rFonts w:ascii="Times New Roman" w:eastAsia="Times New Roman" w:hAnsi="Times New Roman" w:cs="Times New Roman"/>
              </w:rPr>
            </w:pPr>
            <w:r w:rsidRPr="0082311B">
              <w:rPr>
                <w:rFonts w:ascii="Times New Roman" w:eastAsia="Times New Roman" w:hAnsi="Times New Roman" w:cs="Times New Roman"/>
              </w:rPr>
              <w:t>10 balų suteikiama, jei pajėgumas 200–499 kg per parą.</w:t>
            </w:r>
          </w:p>
          <w:p w14:paraId="2C21ED93" w14:textId="67EB3D36" w:rsidR="00E34A6D" w:rsidRPr="0082311B" w:rsidRDefault="00E34A6D" w:rsidP="00A10522">
            <w:pPr>
              <w:tabs>
                <w:tab w:val="left" w:pos="271"/>
                <w:tab w:val="left" w:pos="993"/>
                <w:tab w:val="left" w:pos="1134"/>
              </w:tabs>
              <w:spacing w:after="0" w:line="240" w:lineRule="auto"/>
              <w:rPr>
                <w:rFonts w:ascii="Times New Roman" w:hAnsi="Times New Roman" w:cs="Times New Roman"/>
                <w:lang w:val="lt"/>
              </w:rPr>
            </w:pPr>
          </w:p>
        </w:tc>
        <w:tc>
          <w:tcPr>
            <w:tcW w:w="318" w:type="pct"/>
            <w:tcBorders>
              <w:top w:val="single" w:sz="4" w:space="0" w:color="auto"/>
              <w:left w:val="single" w:sz="4" w:space="0" w:color="auto"/>
              <w:bottom w:val="single" w:sz="4" w:space="0" w:color="auto"/>
              <w:right w:val="single" w:sz="4" w:space="0" w:color="auto"/>
            </w:tcBorders>
          </w:tcPr>
          <w:p w14:paraId="00E69E3A" w14:textId="6F2A2F9B" w:rsidR="00E34A6D" w:rsidRPr="00C75F3F" w:rsidRDefault="00E34A6D" w:rsidP="00486E60">
            <w:pPr>
              <w:spacing w:after="0" w:line="240" w:lineRule="auto"/>
              <w:ind w:left="-57" w:right="-57"/>
              <w:rPr>
                <w:rFonts w:ascii="Times New Roman" w:eastAsia="Times New Roman" w:hAnsi="Times New Roman" w:cs="Times New Roman"/>
                <w:lang w:eastAsia="lt-LT"/>
              </w:rPr>
            </w:pPr>
            <w:r>
              <w:rPr>
                <w:rFonts w:ascii="Times New Roman" w:eastAsia="Times New Roman" w:hAnsi="Times New Roman" w:cs="Times New Roman"/>
                <w:lang w:eastAsia="lt-LT"/>
              </w:rPr>
              <w:t>30</w:t>
            </w:r>
          </w:p>
        </w:tc>
        <w:tc>
          <w:tcPr>
            <w:tcW w:w="318" w:type="pct"/>
            <w:tcBorders>
              <w:top w:val="single" w:sz="4" w:space="0" w:color="auto"/>
              <w:left w:val="single" w:sz="4" w:space="0" w:color="auto"/>
              <w:bottom w:val="single" w:sz="4" w:space="0" w:color="auto"/>
              <w:right w:val="single" w:sz="4" w:space="0" w:color="auto"/>
            </w:tcBorders>
            <w:hideMark/>
          </w:tcPr>
          <w:p w14:paraId="2CA3EB1B" w14:textId="03A58B88" w:rsidR="00E34A6D" w:rsidRPr="00C75F3F" w:rsidRDefault="00E34A6D" w:rsidP="00486E60">
            <w:pPr>
              <w:spacing w:after="0" w:line="240" w:lineRule="auto"/>
              <w:ind w:left="-57" w:right="-57"/>
              <w:rPr>
                <w:rFonts w:ascii="Times New Roman" w:eastAsia="Times New Roman" w:hAnsi="Times New Roman" w:cs="Times New Roman"/>
                <w:lang w:eastAsia="lt-LT"/>
              </w:rPr>
            </w:pPr>
            <w:r w:rsidRPr="00C75F3F">
              <w:rPr>
                <w:rFonts w:ascii="Times New Roman" w:eastAsia="Times New Roman" w:hAnsi="Times New Roman" w:cs="Times New Roman"/>
                <w:lang w:eastAsia="lt-LT"/>
              </w:rPr>
              <w:t>30</w:t>
            </w:r>
          </w:p>
        </w:tc>
        <w:tc>
          <w:tcPr>
            <w:tcW w:w="273" w:type="pct"/>
            <w:tcBorders>
              <w:top w:val="single" w:sz="4" w:space="0" w:color="auto"/>
              <w:left w:val="single" w:sz="4" w:space="0" w:color="auto"/>
              <w:bottom w:val="nil"/>
              <w:right w:val="single" w:sz="4" w:space="0" w:color="auto"/>
            </w:tcBorders>
            <w:hideMark/>
          </w:tcPr>
          <w:p w14:paraId="277F4852" w14:textId="77777777" w:rsidR="00E34A6D" w:rsidRPr="00C75F3F" w:rsidRDefault="00E34A6D" w:rsidP="00486E60">
            <w:pPr>
              <w:spacing w:after="0" w:line="240" w:lineRule="auto"/>
              <w:ind w:left="-57" w:right="-57"/>
              <w:rPr>
                <w:rFonts w:ascii="Times New Roman" w:eastAsia="Times New Roman" w:hAnsi="Times New Roman" w:cs="Times New Roman"/>
                <w:lang w:eastAsia="lt-LT"/>
              </w:rPr>
            </w:pPr>
          </w:p>
        </w:tc>
        <w:tc>
          <w:tcPr>
            <w:tcW w:w="320" w:type="pct"/>
            <w:tcBorders>
              <w:top w:val="single" w:sz="4" w:space="0" w:color="auto"/>
              <w:left w:val="single" w:sz="4" w:space="0" w:color="auto"/>
              <w:bottom w:val="nil"/>
              <w:right w:val="single" w:sz="4" w:space="0" w:color="auto"/>
            </w:tcBorders>
            <w:hideMark/>
          </w:tcPr>
          <w:p w14:paraId="59063FA3" w14:textId="69CB5019" w:rsidR="00E34A6D" w:rsidRPr="00C75F3F" w:rsidRDefault="00E34A6D" w:rsidP="00486E60">
            <w:pPr>
              <w:spacing w:after="0" w:line="240" w:lineRule="auto"/>
              <w:ind w:left="-57" w:right="-57"/>
              <w:rPr>
                <w:rFonts w:ascii="Times New Roman" w:eastAsia="Times New Roman" w:hAnsi="Times New Roman" w:cs="Times New Roman"/>
                <w:lang w:eastAsia="lt-LT"/>
              </w:rPr>
            </w:pPr>
            <w:r w:rsidRPr="00C75F3F">
              <w:rPr>
                <w:rFonts w:ascii="Times New Roman" w:eastAsia="Times New Roman" w:hAnsi="Times New Roman" w:cs="Times New Roman"/>
                <w:lang w:eastAsia="lt-LT"/>
              </w:rPr>
              <w:t>-</w:t>
            </w:r>
          </w:p>
        </w:tc>
        <w:tc>
          <w:tcPr>
            <w:tcW w:w="318" w:type="pct"/>
            <w:tcBorders>
              <w:top w:val="single" w:sz="4" w:space="0" w:color="auto"/>
              <w:left w:val="single" w:sz="4" w:space="0" w:color="auto"/>
              <w:bottom w:val="nil"/>
              <w:right w:val="single" w:sz="4" w:space="0" w:color="auto"/>
            </w:tcBorders>
            <w:hideMark/>
          </w:tcPr>
          <w:p w14:paraId="5FC445DA" w14:textId="77777777" w:rsidR="00E34A6D" w:rsidRPr="00C75F3F" w:rsidRDefault="00E34A6D" w:rsidP="00486E60">
            <w:pPr>
              <w:spacing w:after="0" w:line="240" w:lineRule="auto"/>
              <w:ind w:left="-57" w:right="-57"/>
              <w:rPr>
                <w:rFonts w:ascii="Times New Roman" w:eastAsia="Times New Roman" w:hAnsi="Times New Roman" w:cs="Times New Roman"/>
                <w:lang w:eastAsia="lt-LT"/>
              </w:rPr>
            </w:pPr>
          </w:p>
        </w:tc>
        <w:tc>
          <w:tcPr>
            <w:tcW w:w="319" w:type="pct"/>
            <w:tcBorders>
              <w:top w:val="single" w:sz="4" w:space="0" w:color="auto"/>
              <w:left w:val="single" w:sz="4" w:space="0" w:color="auto"/>
              <w:bottom w:val="nil"/>
              <w:right w:val="single" w:sz="4" w:space="0" w:color="auto"/>
            </w:tcBorders>
            <w:hideMark/>
          </w:tcPr>
          <w:p w14:paraId="07B89CC8" w14:textId="545503C4" w:rsidR="00E34A6D" w:rsidRPr="00C75F3F" w:rsidRDefault="00E34A6D" w:rsidP="00486E60">
            <w:pPr>
              <w:spacing w:after="0" w:line="240" w:lineRule="auto"/>
              <w:ind w:left="-57" w:right="-57"/>
              <w:rPr>
                <w:rFonts w:ascii="Times New Roman" w:eastAsia="Times New Roman" w:hAnsi="Times New Roman" w:cs="Times New Roman"/>
                <w:lang w:eastAsia="lt-LT"/>
              </w:rPr>
            </w:pPr>
          </w:p>
        </w:tc>
        <w:tc>
          <w:tcPr>
            <w:tcW w:w="307" w:type="pct"/>
            <w:tcBorders>
              <w:top w:val="single" w:sz="4" w:space="0" w:color="auto"/>
              <w:left w:val="single" w:sz="4" w:space="0" w:color="auto"/>
              <w:bottom w:val="nil"/>
              <w:right w:val="single" w:sz="4" w:space="0" w:color="auto"/>
            </w:tcBorders>
            <w:noWrap/>
            <w:hideMark/>
          </w:tcPr>
          <w:p w14:paraId="50635D4D" w14:textId="77777777" w:rsidR="00E34A6D" w:rsidRPr="00C75F3F" w:rsidRDefault="00E34A6D" w:rsidP="00486E60">
            <w:pPr>
              <w:spacing w:after="0" w:line="240" w:lineRule="auto"/>
              <w:ind w:left="-57" w:right="-57"/>
              <w:rPr>
                <w:rFonts w:ascii="Times New Roman" w:eastAsia="Times New Roman" w:hAnsi="Times New Roman" w:cs="Times New Roman"/>
                <w:lang w:eastAsia="lt-LT"/>
              </w:rPr>
            </w:pPr>
          </w:p>
        </w:tc>
      </w:tr>
      <w:tr w:rsidR="00E34A6D" w:rsidRPr="002F0078" w14:paraId="38819110" w14:textId="77777777" w:rsidTr="00E34A6D">
        <w:trPr>
          <w:trHeight w:val="300"/>
        </w:trPr>
        <w:tc>
          <w:tcPr>
            <w:tcW w:w="136" w:type="pct"/>
            <w:tcBorders>
              <w:top w:val="single" w:sz="4" w:space="0" w:color="auto"/>
              <w:left w:val="single" w:sz="4" w:space="0" w:color="auto"/>
              <w:bottom w:val="single" w:sz="4" w:space="0" w:color="auto"/>
              <w:right w:val="single" w:sz="4" w:space="0" w:color="auto"/>
            </w:tcBorders>
            <w:noWrap/>
          </w:tcPr>
          <w:p w14:paraId="34E7E3DF" w14:textId="65F749AD" w:rsidR="00E34A6D" w:rsidRPr="002F0078" w:rsidRDefault="00E34A6D" w:rsidP="0082311B">
            <w:pPr>
              <w:spacing w:after="0" w:line="240" w:lineRule="auto"/>
              <w:ind w:left="-57" w:right="-57"/>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p>
        </w:tc>
        <w:tc>
          <w:tcPr>
            <w:tcW w:w="546"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noWrap/>
          </w:tcPr>
          <w:p w14:paraId="3F1DA60C" w14:textId="7045C786" w:rsidR="00E34A6D" w:rsidRPr="0082311B" w:rsidRDefault="00E34A6D" w:rsidP="0082311B">
            <w:pPr>
              <w:spacing w:after="0" w:line="240" w:lineRule="auto"/>
              <w:ind w:left="-57" w:right="-57"/>
              <w:rPr>
                <w:rFonts w:ascii="Times New Roman" w:hAnsi="Times New Roman" w:cs="Times New Roman"/>
              </w:rPr>
            </w:pPr>
            <w:r w:rsidRPr="0082311B">
              <w:rPr>
                <w:rFonts w:ascii="Times New Roman" w:hAnsi="Times New Roman" w:cs="Times New Roman"/>
                <w:szCs w:val="24"/>
              </w:rPr>
              <w:t xml:space="preserve">Pareiškėjo nuosavų lėšų procentinės  dalies </w:t>
            </w:r>
            <w:r w:rsidRPr="0082311B">
              <w:rPr>
                <w:rFonts w:ascii="Times New Roman" w:hAnsi="Times New Roman" w:cs="Times New Roman"/>
                <w:szCs w:val="24"/>
              </w:rPr>
              <w:lastRenderedPageBreak/>
              <w:t>nuo visų tinkamų projekto išlaidų dydis</w:t>
            </w:r>
          </w:p>
        </w:tc>
        <w:tc>
          <w:tcPr>
            <w:tcW w:w="2144"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tcPr>
          <w:p w14:paraId="6F77F180" w14:textId="40045791" w:rsidR="00E34A6D" w:rsidRPr="0082311B" w:rsidRDefault="00E34A6D" w:rsidP="0082311B">
            <w:pPr>
              <w:spacing w:after="0" w:line="240" w:lineRule="auto"/>
              <w:jc w:val="both"/>
              <w:rPr>
                <w:rFonts w:ascii="Times New Roman" w:eastAsia="Times New Roman" w:hAnsi="Times New Roman" w:cs="Times New Roman"/>
              </w:rPr>
            </w:pPr>
            <w:r w:rsidRPr="0082311B">
              <w:rPr>
                <w:rFonts w:ascii="Times New Roman" w:hAnsi="Times New Roman" w:cs="Times New Roman"/>
              </w:rPr>
              <w:lastRenderedPageBreak/>
              <w:t xml:space="preserve">Balai suteikiami projektams už pareiškėjo finansinį indėlį nuosavomis lėšomis, jei nuosavų lėšų procentinė dalis nuo visų tinkamų projekto išlaidų didesnė už 40 proc. Projekto balai (F) apskaičiuojami PĮP nurodytos pareiškėjo nuosavo indėlio procentinės dalies nuo visų tinkamų finansuoti išlaidų (P) ir didžiausios </w:t>
            </w:r>
            <w:r w:rsidRPr="0082311B">
              <w:rPr>
                <w:rFonts w:ascii="Times New Roman" w:hAnsi="Times New Roman" w:cs="Times New Roman"/>
              </w:rPr>
              <w:lastRenderedPageBreak/>
              <w:t>konkursui pateiktos pareiškėjo nuosavo indėlio procentinės dalies nuo visų tinkamų finansuoti išlaidų (P</w:t>
            </w:r>
            <w:r w:rsidRPr="0082311B">
              <w:rPr>
                <w:rFonts w:ascii="Times New Roman" w:hAnsi="Times New Roman" w:cs="Times New Roman"/>
                <w:vertAlign w:val="subscript"/>
              </w:rPr>
              <w:t>max</w:t>
            </w:r>
            <w:r w:rsidRPr="0082311B">
              <w:rPr>
                <w:rFonts w:ascii="Times New Roman" w:hAnsi="Times New Roman" w:cs="Times New Roman"/>
              </w:rPr>
              <w:t>) santykį padauginant iš kriterijaus svorio koeficiento (20): F=(P/P</w:t>
            </w:r>
            <w:r w:rsidRPr="0082311B">
              <w:rPr>
                <w:rFonts w:ascii="Times New Roman" w:hAnsi="Times New Roman" w:cs="Times New Roman"/>
                <w:vertAlign w:val="subscript"/>
              </w:rPr>
              <w:t>max</w:t>
            </w:r>
            <w:r w:rsidRPr="0082311B">
              <w:rPr>
                <w:rFonts w:ascii="Times New Roman" w:hAnsi="Times New Roman" w:cs="Times New Roman"/>
              </w:rPr>
              <w:t>) x 20. Projekto balai (F) apskaičiuojami dviejų skaičių po kablelio tikslumu.</w:t>
            </w:r>
          </w:p>
        </w:tc>
        <w:tc>
          <w:tcPr>
            <w:tcW w:w="318" w:type="pct"/>
            <w:tcBorders>
              <w:top w:val="single" w:sz="4" w:space="0" w:color="auto"/>
              <w:left w:val="single" w:sz="4" w:space="0" w:color="auto"/>
              <w:bottom w:val="single" w:sz="4" w:space="0" w:color="auto"/>
              <w:right w:val="single" w:sz="4" w:space="0" w:color="auto"/>
            </w:tcBorders>
          </w:tcPr>
          <w:p w14:paraId="779F983B" w14:textId="52FA0BE4" w:rsidR="00E34A6D" w:rsidRPr="00C75F3F" w:rsidRDefault="00E34A6D" w:rsidP="0082311B">
            <w:pPr>
              <w:spacing w:after="0" w:line="240" w:lineRule="auto"/>
              <w:ind w:left="-57" w:right="-57"/>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20</w:t>
            </w:r>
          </w:p>
        </w:tc>
        <w:tc>
          <w:tcPr>
            <w:tcW w:w="318" w:type="pct"/>
            <w:tcBorders>
              <w:top w:val="single" w:sz="4" w:space="0" w:color="auto"/>
              <w:left w:val="single" w:sz="4" w:space="0" w:color="auto"/>
              <w:bottom w:val="single" w:sz="4" w:space="0" w:color="auto"/>
              <w:right w:val="single" w:sz="4" w:space="0" w:color="auto"/>
            </w:tcBorders>
          </w:tcPr>
          <w:p w14:paraId="67789EDA" w14:textId="325FFD7B" w:rsidR="00E34A6D" w:rsidRPr="00C75F3F" w:rsidRDefault="00E34A6D" w:rsidP="0082311B">
            <w:pPr>
              <w:spacing w:after="0" w:line="240" w:lineRule="auto"/>
              <w:ind w:left="-57" w:right="-57"/>
              <w:rPr>
                <w:rFonts w:ascii="Times New Roman" w:eastAsia="Times New Roman" w:hAnsi="Times New Roman" w:cs="Times New Roman"/>
                <w:lang w:eastAsia="lt-LT"/>
              </w:rPr>
            </w:pPr>
            <w:r>
              <w:rPr>
                <w:rFonts w:ascii="Times New Roman" w:eastAsia="Times New Roman" w:hAnsi="Times New Roman" w:cs="Times New Roman"/>
                <w:lang w:eastAsia="lt-LT"/>
              </w:rPr>
              <w:t>1</w:t>
            </w:r>
          </w:p>
        </w:tc>
        <w:tc>
          <w:tcPr>
            <w:tcW w:w="273" w:type="pct"/>
            <w:tcBorders>
              <w:top w:val="single" w:sz="4" w:space="0" w:color="auto"/>
              <w:left w:val="single" w:sz="4" w:space="0" w:color="auto"/>
              <w:bottom w:val="nil"/>
              <w:right w:val="single" w:sz="4" w:space="0" w:color="auto"/>
            </w:tcBorders>
          </w:tcPr>
          <w:p w14:paraId="19730C01" w14:textId="77777777" w:rsidR="00E34A6D" w:rsidRPr="00C75F3F" w:rsidRDefault="00E34A6D" w:rsidP="0082311B">
            <w:pPr>
              <w:spacing w:after="0" w:line="240" w:lineRule="auto"/>
              <w:ind w:left="-57" w:right="-57"/>
              <w:rPr>
                <w:rFonts w:ascii="Times New Roman" w:eastAsia="Times New Roman" w:hAnsi="Times New Roman" w:cs="Times New Roman"/>
                <w:lang w:eastAsia="lt-LT"/>
              </w:rPr>
            </w:pPr>
          </w:p>
        </w:tc>
        <w:tc>
          <w:tcPr>
            <w:tcW w:w="320" w:type="pct"/>
            <w:tcBorders>
              <w:top w:val="single" w:sz="4" w:space="0" w:color="auto"/>
              <w:left w:val="single" w:sz="4" w:space="0" w:color="auto"/>
              <w:bottom w:val="nil"/>
              <w:right w:val="single" w:sz="4" w:space="0" w:color="auto"/>
            </w:tcBorders>
          </w:tcPr>
          <w:p w14:paraId="6DA05109" w14:textId="4AECA975" w:rsidR="00E34A6D" w:rsidRPr="00C75F3F" w:rsidRDefault="00E34A6D" w:rsidP="0082311B">
            <w:pPr>
              <w:spacing w:after="0" w:line="240" w:lineRule="auto"/>
              <w:ind w:left="-57" w:right="-57"/>
              <w:rPr>
                <w:rFonts w:ascii="Times New Roman" w:eastAsia="Times New Roman" w:hAnsi="Times New Roman" w:cs="Times New Roman"/>
                <w:lang w:eastAsia="lt-LT"/>
              </w:rPr>
            </w:pPr>
            <w:r w:rsidRPr="00C75F3F">
              <w:rPr>
                <w:rFonts w:ascii="Times New Roman" w:eastAsia="Times New Roman" w:hAnsi="Times New Roman" w:cs="Times New Roman"/>
                <w:lang w:eastAsia="lt-LT"/>
              </w:rPr>
              <w:t>20</w:t>
            </w:r>
          </w:p>
        </w:tc>
        <w:tc>
          <w:tcPr>
            <w:tcW w:w="318" w:type="pct"/>
            <w:tcBorders>
              <w:top w:val="single" w:sz="4" w:space="0" w:color="auto"/>
              <w:left w:val="single" w:sz="4" w:space="0" w:color="auto"/>
              <w:bottom w:val="nil"/>
              <w:right w:val="single" w:sz="4" w:space="0" w:color="auto"/>
            </w:tcBorders>
          </w:tcPr>
          <w:p w14:paraId="3A51BBD5" w14:textId="77777777" w:rsidR="00E34A6D" w:rsidRPr="00C75F3F" w:rsidRDefault="00E34A6D" w:rsidP="0082311B">
            <w:pPr>
              <w:spacing w:after="0" w:line="240" w:lineRule="auto"/>
              <w:ind w:left="-57" w:right="-57"/>
              <w:rPr>
                <w:rFonts w:ascii="Times New Roman" w:eastAsia="Times New Roman" w:hAnsi="Times New Roman" w:cs="Times New Roman"/>
                <w:lang w:eastAsia="lt-LT"/>
              </w:rPr>
            </w:pPr>
          </w:p>
        </w:tc>
        <w:tc>
          <w:tcPr>
            <w:tcW w:w="319" w:type="pct"/>
            <w:tcBorders>
              <w:top w:val="single" w:sz="4" w:space="0" w:color="auto"/>
              <w:left w:val="single" w:sz="4" w:space="0" w:color="auto"/>
              <w:bottom w:val="nil"/>
              <w:right w:val="single" w:sz="4" w:space="0" w:color="auto"/>
            </w:tcBorders>
          </w:tcPr>
          <w:p w14:paraId="6C9FB411" w14:textId="404C54BA" w:rsidR="00E34A6D" w:rsidRPr="00C75F3F" w:rsidRDefault="00E34A6D" w:rsidP="0082311B">
            <w:pPr>
              <w:spacing w:after="0" w:line="240" w:lineRule="auto"/>
              <w:ind w:left="-57" w:right="-57"/>
              <w:rPr>
                <w:rFonts w:ascii="Times New Roman" w:eastAsia="Times New Roman" w:hAnsi="Times New Roman" w:cs="Times New Roman"/>
                <w:lang w:eastAsia="lt-LT"/>
              </w:rPr>
            </w:pPr>
          </w:p>
        </w:tc>
        <w:tc>
          <w:tcPr>
            <w:tcW w:w="307" w:type="pct"/>
            <w:tcBorders>
              <w:top w:val="single" w:sz="4" w:space="0" w:color="auto"/>
              <w:left w:val="single" w:sz="4" w:space="0" w:color="auto"/>
              <w:bottom w:val="nil"/>
              <w:right w:val="single" w:sz="4" w:space="0" w:color="auto"/>
            </w:tcBorders>
            <w:noWrap/>
          </w:tcPr>
          <w:p w14:paraId="45CBDA46" w14:textId="77777777" w:rsidR="00E34A6D" w:rsidRPr="00C75F3F" w:rsidRDefault="00E34A6D" w:rsidP="0082311B">
            <w:pPr>
              <w:spacing w:after="0" w:line="240" w:lineRule="auto"/>
              <w:ind w:left="-57" w:right="-57"/>
              <w:rPr>
                <w:rFonts w:ascii="Times New Roman" w:eastAsia="Times New Roman" w:hAnsi="Times New Roman" w:cs="Times New Roman"/>
                <w:lang w:eastAsia="lt-LT"/>
              </w:rPr>
            </w:pPr>
          </w:p>
        </w:tc>
      </w:tr>
      <w:tr w:rsidR="00E34A6D" w:rsidRPr="002F0078" w14:paraId="6CE49BF1" w14:textId="77777777" w:rsidTr="00E34A6D">
        <w:trPr>
          <w:trHeight w:val="1250"/>
        </w:trPr>
        <w:tc>
          <w:tcPr>
            <w:tcW w:w="319" w:type="pct"/>
            <w:gridSpan w:val="2"/>
            <w:tcBorders>
              <w:top w:val="single" w:sz="4" w:space="0" w:color="auto"/>
              <w:left w:val="single" w:sz="4" w:space="0" w:color="auto"/>
              <w:bottom w:val="single" w:sz="4" w:space="0" w:color="auto"/>
              <w:right w:val="nil"/>
            </w:tcBorders>
          </w:tcPr>
          <w:p w14:paraId="53C04D50" w14:textId="77777777" w:rsidR="00E34A6D" w:rsidRPr="00A10522" w:rsidRDefault="00E34A6D" w:rsidP="0082311B">
            <w:pPr>
              <w:rPr>
                <w:rFonts w:ascii="Times New Roman" w:eastAsia="Times New Roman" w:hAnsi="Times New Roman" w:cs="Times New Roman"/>
                <w:sz w:val="20"/>
                <w:szCs w:val="20"/>
                <w:lang w:eastAsia="lt-LT"/>
              </w:rPr>
            </w:pPr>
          </w:p>
        </w:tc>
        <w:tc>
          <w:tcPr>
            <w:tcW w:w="3144" w:type="pct"/>
            <w:gridSpan w:val="4"/>
            <w:tcBorders>
              <w:top w:val="single" w:sz="4" w:space="0" w:color="auto"/>
              <w:left w:val="single" w:sz="4" w:space="0" w:color="auto"/>
              <w:bottom w:val="single" w:sz="4" w:space="0" w:color="auto"/>
              <w:right w:val="nil"/>
            </w:tcBorders>
            <w:noWrap/>
            <w:vAlign w:val="bottom"/>
            <w:hideMark/>
          </w:tcPr>
          <w:p w14:paraId="599561ED" w14:textId="409FF67F" w:rsidR="00E34A6D" w:rsidRDefault="00E34A6D" w:rsidP="0082311B">
            <w:pPr>
              <w:rPr>
                <w:rFonts w:ascii="Times New Roman" w:eastAsia="Times New Roman" w:hAnsi="Times New Roman" w:cs="Times New Roman"/>
                <w:sz w:val="20"/>
                <w:szCs w:val="20"/>
                <w:lang w:eastAsia="lt-LT"/>
              </w:rPr>
            </w:pPr>
            <w:bookmarkStart w:id="1" w:name="NK_vertinimas_(1.2.4)!C48"/>
            <w:bookmarkEnd w:id="1"/>
            <w:r w:rsidRPr="00A10522">
              <w:rPr>
                <w:rFonts w:ascii="Times New Roman" w:eastAsia="Times New Roman" w:hAnsi="Times New Roman" w:cs="Times New Roman"/>
                <w:sz w:val="20"/>
                <w:szCs w:val="20"/>
                <w:lang w:eastAsia="lt-LT"/>
              </w:rPr>
              <w:t xml:space="preserve">* </w:t>
            </w:r>
            <w:r w:rsidRPr="008E1766">
              <w:rPr>
                <w:rFonts w:ascii="Times New Roman" w:eastAsia="Times New Roman" w:hAnsi="Times New Roman" w:cs="Times New Roman"/>
                <w:sz w:val="20"/>
                <w:szCs w:val="20"/>
                <w:lang w:eastAsia="lt-LT"/>
              </w:rPr>
              <w:t>TEN-T pagrindinis tinklas – tinklas, apibrėžtas 2013 m. gruodžio 11 d. Europos Parlamento ir Tarybos reglamento (ES) Nr. 1315/2013 dėl Sąjungos transeuropinio transporto tinklo plėtros gairių, kuriuo panaikinamas Sprendimas Nr. 661/2010/ES, 38 straipsnyje.</w:t>
            </w:r>
          </w:p>
          <w:p w14:paraId="5CDFE9DD" w14:textId="55E9E932" w:rsidR="00E34A6D" w:rsidRPr="002F0078" w:rsidRDefault="00E34A6D" w:rsidP="008E1766">
            <w:pPr>
              <w:spacing w:after="0" w:line="240" w:lineRule="auto"/>
              <w:ind w:left="-57" w:right="-57"/>
              <w:rPr>
                <w:rFonts w:ascii="Times New Roman" w:eastAsia="Times New Roman" w:hAnsi="Times New Roman" w:cs="Times New Roman"/>
                <w:sz w:val="20"/>
                <w:szCs w:val="20"/>
                <w:lang w:eastAsia="lt-LT"/>
              </w:rPr>
            </w:pPr>
            <w:r w:rsidRPr="00A10522">
              <w:rPr>
                <w:rFonts w:ascii="Times New Roman" w:eastAsia="Times New Roman" w:hAnsi="Times New Roman" w:cs="Times New Roman"/>
                <w:sz w:val="20"/>
                <w:szCs w:val="20"/>
                <w:lang w:eastAsia="lt-LT"/>
              </w:rPr>
              <w:t xml:space="preserve">** Miestų transporto mazgas – </w:t>
            </w:r>
            <w:r w:rsidRPr="008E1766">
              <w:rPr>
                <w:rFonts w:ascii="Times New Roman" w:eastAsia="Times New Roman" w:hAnsi="Times New Roman" w:cs="Times New Roman"/>
                <w:sz w:val="20"/>
                <w:szCs w:val="20"/>
                <w:lang w:eastAsia="lt-LT"/>
              </w:rPr>
              <w:t>miesto zona, kurioje transeuropinio transporto tinklo transporto infrastruktūros elementai, pavyzdžiui, uostai, įskaitant keleivių terminalus, oro uostai, geležinkelio stotys, autobusų terminalai, logistikos centrai ir įrenginiai bei krovinių terminalai, esantys miestų zonose arba aplink jas, yra sujungti su kitais tos infrastruktūros elementais ir su regioninio ir vietos eismo infrastruktūra, įskaitant susijusią su aktyviuoju judumu, kaip apibrėžta Pasiūlyme dėl Europos Parlamento ir Tarybos reglamento dėl Sąjungos transeuropinio tinklo plėtros gairių, kuriuo iš dalies keičiamas Reglamentas (ES) 2021/1153 bei Reglamentas (ES) Nr. 913/2010 ir panaikinamas Reglamentas (ES) Nr. 1315/2013. Minėto dokumento II priede pateikiami 5 Lietuvos miestai, priskiriami miestų transporto mazgams: Vilnius, Kaunas, Klaipėda, Šiauliai, Panevėžys. Laikoma, kad transporto mazgo riba sutampa su miesto teritorijos riba.</w:t>
            </w:r>
          </w:p>
        </w:tc>
        <w:tc>
          <w:tcPr>
            <w:tcW w:w="593" w:type="pct"/>
            <w:gridSpan w:val="2"/>
            <w:tcBorders>
              <w:top w:val="single" w:sz="4" w:space="0" w:color="auto"/>
              <w:left w:val="single" w:sz="4" w:space="0" w:color="auto"/>
              <w:bottom w:val="single" w:sz="4" w:space="0" w:color="auto"/>
              <w:right w:val="single" w:sz="4" w:space="0" w:color="auto"/>
            </w:tcBorders>
            <w:shd w:val="clear" w:color="000000" w:fill="D0CECE"/>
            <w:hideMark/>
          </w:tcPr>
          <w:p w14:paraId="151BBACC" w14:textId="77777777" w:rsidR="00E34A6D" w:rsidRPr="00C75F3F" w:rsidRDefault="00E34A6D" w:rsidP="0082311B">
            <w:pPr>
              <w:spacing w:after="0" w:line="240" w:lineRule="auto"/>
              <w:ind w:left="-57" w:right="-57"/>
              <w:jc w:val="right"/>
              <w:rPr>
                <w:rFonts w:ascii="Times New Roman" w:eastAsia="Times New Roman" w:hAnsi="Times New Roman" w:cs="Times New Roman"/>
                <w:b/>
                <w:bCs/>
                <w:color w:val="000000"/>
                <w:lang w:eastAsia="lt-LT"/>
              </w:rPr>
            </w:pPr>
            <w:r w:rsidRPr="00C75F3F">
              <w:rPr>
                <w:rFonts w:ascii="Times New Roman" w:eastAsia="Times New Roman" w:hAnsi="Times New Roman" w:cs="Times New Roman"/>
                <w:b/>
                <w:bCs/>
                <w:color w:val="000000"/>
                <w:lang w:eastAsia="lt-LT"/>
              </w:rPr>
              <w:t>SUMA:</w:t>
            </w:r>
          </w:p>
        </w:tc>
        <w:tc>
          <w:tcPr>
            <w:tcW w:w="318" w:type="pct"/>
            <w:tcBorders>
              <w:top w:val="single" w:sz="4" w:space="0" w:color="auto"/>
              <w:left w:val="single" w:sz="4" w:space="0" w:color="auto"/>
              <w:bottom w:val="single" w:sz="4" w:space="0" w:color="auto"/>
              <w:right w:val="single" w:sz="4" w:space="0" w:color="auto"/>
            </w:tcBorders>
            <w:hideMark/>
          </w:tcPr>
          <w:p w14:paraId="63D9F315" w14:textId="1A6C7A87" w:rsidR="00E34A6D" w:rsidRPr="00C75F3F" w:rsidRDefault="00E34A6D" w:rsidP="0082311B">
            <w:pPr>
              <w:spacing w:after="0" w:line="240" w:lineRule="auto"/>
              <w:ind w:left="-57" w:right="-57"/>
              <w:rPr>
                <w:rFonts w:ascii="Times New Roman" w:eastAsia="Times New Roman" w:hAnsi="Times New Roman" w:cs="Times New Roman"/>
                <w:iCs/>
                <w:lang w:eastAsia="lt-LT"/>
              </w:rPr>
            </w:pPr>
          </w:p>
        </w:tc>
        <w:tc>
          <w:tcPr>
            <w:tcW w:w="319" w:type="pct"/>
            <w:tcBorders>
              <w:top w:val="single" w:sz="4" w:space="0" w:color="auto"/>
              <w:left w:val="single" w:sz="4" w:space="0" w:color="auto"/>
              <w:bottom w:val="single" w:sz="4" w:space="0" w:color="auto"/>
              <w:right w:val="single" w:sz="4" w:space="0" w:color="auto"/>
            </w:tcBorders>
            <w:hideMark/>
          </w:tcPr>
          <w:p w14:paraId="3B4F57B4" w14:textId="092ACDCF" w:rsidR="00E34A6D" w:rsidRPr="00C75F3F" w:rsidRDefault="00E34A6D" w:rsidP="008E1766">
            <w:pPr>
              <w:spacing w:after="0" w:line="240" w:lineRule="auto"/>
              <w:ind w:left="-57" w:right="-57"/>
              <w:jc w:val="center"/>
              <w:rPr>
                <w:rFonts w:ascii="Times New Roman" w:eastAsia="Times New Roman" w:hAnsi="Times New Roman" w:cs="Times New Roman"/>
                <w:b/>
                <w:bCs/>
                <w:iCs/>
                <w:lang w:eastAsia="lt-LT"/>
              </w:rPr>
            </w:pPr>
            <w:r w:rsidRPr="00C75F3F">
              <w:rPr>
                <w:rFonts w:ascii="Times New Roman" w:eastAsia="Times New Roman" w:hAnsi="Times New Roman" w:cs="Times New Roman"/>
                <w:b/>
                <w:bCs/>
                <w:iCs/>
                <w:lang w:eastAsia="lt-LT"/>
              </w:rPr>
              <w:t>30</w:t>
            </w:r>
          </w:p>
        </w:tc>
        <w:tc>
          <w:tcPr>
            <w:tcW w:w="307" w:type="pct"/>
            <w:tcBorders>
              <w:top w:val="single" w:sz="4" w:space="0" w:color="auto"/>
              <w:left w:val="single" w:sz="4" w:space="0" w:color="auto"/>
              <w:bottom w:val="single" w:sz="4" w:space="0" w:color="auto"/>
              <w:right w:val="single" w:sz="4" w:space="0" w:color="auto"/>
            </w:tcBorders>
            <w:shd w:val="clear" w:color="000000" w:fill="D0CECE"/>
            <w:noWrap/>
            <w:hideMark/>
          </w:tcPr>
          <w:p w14:paraId="6DE45D85" w14:textId="77777777" w:rsidR="00E34A6D" w:rsidRPr="002F0078" w:rsidRDefault="00E34A6D" w:rsidP="0082311B">
            <w:pPr>
              <w:spacing w:after="0" w:line="240" w:lineRule="auto"/>
              <w:ind w:left="-57" w:right="-57"/>
              <w:rPr>
                <w:rFonts w:ascii="Times New Roman" w:eastAsia="Times New Roman" w:hAnsi="Times New Roman" w:cs="Times New Roman"/>
                <w:i/>
                <w:iCs/>
                <w:sz w:val="20"/>
                <w:szCs w:val="20"/>
                <w:lang w:eastAsia="lt-LT"/>
              </w:rPr>
            </w:pPr>
          </w:p>
        </w:tc>
      </w:tr>
    </w:tbl>
    <w:p w14:paraId="4086132E" w14:textId="77777777" w:rsidR="00D3720E" w:rsidRPr="00D3720E" w:rsidRDefault="00D3720E" w:rsidP="00E93301">
      <w:pPr>
        <w:pStyle w:val="ListParagraph"/>
        <w:keepNext/>
        <w:keepLines/>
        <w:numPr>
          <w:ilvl w:val="0"/>
          <w:numId w:val="13"/>
        </w:numPr>
        <w:tabs>
          <w:tab w:val="left" w:pos="426"/>
        </w:tabs>
        <w:spacing w:before="40" w:after="0" w:line="360" w:lineRule="auto"/>
        <w:ind w:left="0" w:firstLine="0"/>
        <w:contextualSpacing w:val="0"/>
        <w:outlineLvl w:val="1"/>
        <w:rPr>
          <w:rFonts w:ascii="Times New Roman" w:eastAsiaTheme="majorEastAsia" w:hAnsi="Times New Roman" w:cs="Times New Roman"/>
          <w:b/>
          <w:bCs/>
          <w:vanish/>
          <w:color w:val="FFFFFF" w:themeColor="background1"/>
          <w:sz w:val="2"/>
          <w:szCs w:val="2"/>
        </w:rPr>
      </w:pPr>
    </w:p>
    <w:p w14:paraId="3074F36A" w14:textId="77777777" w:rsidR="00D3720E" w:rsidRPr="00D3720E" w:rsidRDefault="00D3720E" w:rsidP="00E93301">
      <w:pPr>
        <w:pStyle w:val="ListParagraph"/>
        <w:keepNext/>
        <w:keepLines/>
        <w:numPr>
          <w:ilvl w:val="0"/>
          <w:numId w:val="13"/>
        </w:numPr>
        <w:tabs>
          <w:tab w:val="left" w:pos="426"/>
        </w:tabs>
        <w:spacing w:before="40" w:after="0" w:line="360" w:lineRule="auto"/>
        <w:ind w:left="0" w:firstLine="0"/>
        <w:contextualSpacing w:val="0"/>
        <w:outlineLvl w:val="1"/>
        <w:rPr>
          <w:rFonts w:ascii="Times New Roman" w:eastAsiaTheme="majorEastAsia" w:hAnsi="Times New Roman" w:cs="Times New Roman"/>
          <w:b/>
          <w:bCs/>
          <w:vanish/>
          <w:color w:val="FFFFFF" w:themeColor="background1"/>
          <w:sz w:val="2"/>
          <w:szCs w:val="2"/>
        </w:rPr>
      </w:pPr>
    </w:p>
    <w:p w14:paraId="5024AE22" w14:textId="2756BBD8" w:rsidR="00AB1327" w:rsidRDefault="005808BF" w:rsidP="00047D1C">
      <w:pPr>
        <w:pStyle w:val="Heading1"/>
        <w:numPr>
          <w:ilvl w:val="0"/>
          <w:numId w:val="2"/>
        </w:numPr>
      </w:pPr>
      <w:r>
        <w:t>S</w:t>
      </w:r>
      <w:r w:rsidR="00EC0E11" w:rsidRPr="00EC0E11">
        <w:t>PRENDIMAS</w:t>
      </w:r>
    </w:p>
    <w:tbl>
      <w:tblPr>
        <w:tblStyle w:val="TableGrid"/>
        <w:tblW w:w="14596" w:type="dxa"/>
        <w:tblLook w:val="04A0" w:firstRow="1" w:lastRow="0" w:firstColumn="1" w:lastColumn="0" w:noHBand="0" w:noVBand="1"/>
      </w:tblPr>
      <w:tblGrid>
        <w:gridCol w:w="14596"/>
      </w:tblGrid>
      <w:tr w:rsidR="002F4D33" w14:paraId="29B50397" w14:textId="77777777" w:rsidTr="00EA4E9A">
        <w:tc>
          <w:tcPr>
            <w:tcW w:w="14596" w:type="dxa"/>
          </w:tcPr>
          <w:p w14:paraId="5348C4DC" w14:textId="65EF45D4" w:rsidR="002F4D33" w:rsidRDefault="002F4D33" w:rsidP="008864ED">
            <w:pPr>
              <w:pStyle w:val="Heading2"/>
              <w:outlineLvl w:val="1"/>
            </w:pPr>
          </w:p>
        </w:tc>
      </w:tr>
    </w:tbl>
    <w:p w14:paraId="33C976D2" w14:textId="7CC8C12D" w:rsidR="002D7EEE" w:rsidRDefault="002D7EEE" w:rsidP="00047D1C">
      <w:pPr>
        <w:pStyle w:val="Heading1"/>
        <w:numPr>
          <w:ilvl w:val="0"/>
          <w:numId w:val="2"/>
        </w:numPr>
        <w:rPr>
          <w:b w:val="0"/>
        </w:rPr>
      </w:pPr>
      <w:r w:rsidRPr="002D7EEE">
        <w:t xml:space="preserve">PASTABOS </w:t>
      </w:r>
      <w:r w:rsidR="00624ECB">
        <w:t>PAREIŠKĖJUI</w:t>
      </w:r>
    </w:p>
    <w:tbl>
      <w:tblPr>
        <w:tblStyle w:val="TableGrid"/>
        <w:tblW w:w="14596" w:type="dxa"/>
        <w:tblLook w:val="04A0" w:firstRow="1" w:lastRow="0" w:firstColumn="1" w:lastColumn="0" w:noHBand="0" w:noVBand="1"/>
      </w:tblPr>
      <w:tblGrid>
        <w:gridCol w:w="14596"/>
      </w:tblGrid>
      <w:tr w:rsidR="001259C3" w14:paraId="570E1E21" w14:textId="77777777" w:rsidTr="00EA4E9A">
        <w:trPr>
          <w:trHeight w:val="481"/>
        </w:trPr>
        <w:tc>
          <w:tcPr>
            <w:tcW w:w="14596" w:type="dxa"/>
          </w:tcPr>
          <w:p w14:paraId="3EB5947C" w14:textId="4571218A" w:rsidR="001259C3" w:rsidRDefault="001259C3" w:rsidP="00E93301">
            <w:pPr>
              <w:rPr>
                <w:rFonts w:ascii="Times New Roman" w:hAnsi="Times New Roman" w:cs="Times New Roman"/>
                <w:b/>
              </w:rPr>
            </w:pPr>
          </w:p>
        </w:tc>
      </w:tr>
    </w:tbl>
    <w:p w14:paraId="3C5F87EA" w14:textId="2043DFA9" w:rsidR="002D7EEE" w:rsidRDefault="002D7EEE" w:rsidP="00047D1C">
      <w:pPr>
        <w:pStyle w:val="Heading1"/>
        <w:numPr>
          <w:ilvl w:val="0"/>
          <w:numId w:val="2"/>
        </w:numPr>
        <w:rPr>
          <w:b w:val="0"/>
          <w:bCs/>
        </w:rPr>
      </w:pPr>
      <w:r w:rsidRPr="70CCFC48">
        <w:rPr>
          <w:bCs/>
        </w:rPr>
        <w:t>PASTABOS (</w:t>
      </w:r>
      <w:r w:rsidRPr="008D18C8">
        <w:t>nesiunčiamos</w:t>
      </w:r>
      <w:r w:rsidRPr="70CCFC48">
        <w:rPr>
          <w:bCs/>
        </w:rPr>
        <w:t xml:space="preserve"> </w:t>
      </w:r>
      <w:r w:rsidR="003C4819" w:rsidRPr="70CCFC48">
        <w:rPr>
          <w:bCs/>
        </w:rPr>
        <w:t>Pareiškėjui/</w:t>
      </w:r>
      <w:r w:rsidRPr="70CCFC48">
        <w:rPr>
          <w:bCs/>
        </w:rPr>
        <w:t>Projekto vykdytojui)</w:t>
      </w:r>
    </w:p>
    <w:tbl>
      <w:tblPr>
        <w:tblStyle w:val="TableGrid"/>
        <w:tblW w:w="14596" w:type="dxa"/>
        <w:tblLook w:val="04A0" w:firstRow="1" w:lastRow="0" w:firstColumn="1" w:lastColumn="0" w:noHBand="0" w:noVBand="1"/>
      </w:tblPr>
      <w:tblGrid>
        <w:gridCol w:w="14596"/>
      </w:tblGrid>
      <w:tr w:rsidR="002D7EEE" w14:paraId="1FA5FB0B" w14:textId="77777777" w:rsidTr="00EA4E9A">
        <w:trPr>
          <w:trHeight w:val="1137"/>
        </w:trPr>
        <w:tc>
          <w:tcPr>
            <w:tcW w:w="14596" w:type="dxa"/>
          </w:tcPr>
          <w:p w14:paraId="2D22806F" w14:textId="219CEEE9" w:rsidR="002D7EEE" w:rsidRDefault="002D7EEE" w:rsidP="005808BF">
            <w:pPr>
              <w:rPr>
                <w:rFonts w:ascii="Times New Roman" w:hAnsi="Times New Roman" w:cs="Times New Roman"/>
                <w:b/>
              </w:rPr>
            </w:pPr>
          </w:p>
        </w:tc>
      </w:tr>
    </w:tbl>
    <w:p w14:paraId="6D6B894E" w14:textId="77777777" w:rsidR="002D7EEE" w:rsidRPr="002D7EEE" w:rsidRDefault="002D7EEE" w:rsidP="00E93301">
      <w:pPr>
        <w:rPr>
          <w:rFonts w:ascii="Times New Roman" w:hAnsi="Times New Roman" w:cs="Times New Roman"/>
          <w:b/>
        </w:rPr>
      </w:pPr>
    </w:p>
    <w:sectPr w:rsidR="002D7EEE" w:rsidRPr="002D7EEE" w:rsidSect="003125E8">
      <w:pgSz w:w="16838" w:h="11906" w:orient="landscape"/>
      <w:pgMar w:top="566" w:right="1134" w:bottom="424" w:left="1135" w:header="34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E7B32" w14:textId="77777777" w:rsidR="000333E0" w:rsidRDefault="000333E0" w:rsidP="00B351D0">
      <w:pPr>
        <w:spacing w:after="0" w:line="240" w:lineRule="auto"/>
      </w:pPr>
      <w:r>
        <w:separator/>
      </w:r>
    </w:p>
  </w:endnote>
  <w:endnote w:type="continuationSeparator" w:id="0">
    <w:p w14:paraId="39705558" w14:textId="77777777" w:rsidR="000333E0" w:rsidRDefault="000333E0" w:rsidP="00B351D0">
      <w:pPr>
        <w:spacing w:after="0" w:line="240" w:lineRule="auto"/>
      </w:pPr>
      <w:r>
        <w:continuationSeparator/>
      </w:r>
    </w:p>
  </w:endnote>
  <w:endnote w:type="continuationNotice" w:id="1">
    <w:p w14:paraId="42A05EBF" w14:textId="77777777" w:rsidR="000333E0" w:rsidRDefault="000333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ED9DD" w14:textId="77777777" w:rsidR="000333E0" w:rsidRDefault="000333E0" w:rsidP="00B351D0">
      <w:pPr>
        <w:spacing w:after="0" w:line="240" w:lineRule="auto"/>
      </w:pPr>
      <w:r>
        <w:separator/>
      </w:r>
    </w:p>
  </w:footnote>
  <w:footnote w:type="continuationSeparator" w:id="0">
    <w:p w14:paraId="03EC60F6" w14:textId="77777777" w:rsidR="000333E0" w:rsidRDefault="000333E0" w:rsidP="00B351D0">
      <w:pPr>
        <w:spacing w:after="0" w:line="240" w:lineRule="auto"/>
      </w:pPr>
      <w:r>
        <w:continuationSeparator/>
      </w:r>
    </w:p>
  </w:footnote>
  <w:footnote w:type="continuationNotice" w:id="1">
    <w:p w14:paraId="1089EEAF" w14:textId="77777777" w:rsidR="000333E0" w:rsidRDefault="000333E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41BF8"/>
    <w:multiLevelType w:val="hybridMultilevel"/>
    <w:tmpl w:val="36329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4E6406"/>
    <w:multiLevelType w:val="hybridMultilevel"/>
    <w:tmpl w:val="071AEF28"/>
    <w:lvl w:ilvl="0" w:tplc="20DA9904">
      <w:start w:val="1"/>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90577E"/>
    <w:multiLevelType w:val="multilevel"/>
    <w:tmpl w:val="863AD25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6C6D9B"/>
    <w:multiLevelType w:val="multilevel"/>
    <w:tmpl w:val="7902DCCC"/>
    <w:lvl w:ilvl="0">
      <w:start w:val="1"/>
      <w:numFmt w:val="decimal"/>
      <w:lvlText w:val="%1."/>
      <w:lvlJc w:val="left"/>
      <w:pPr>
        <w:ind w:left="786" w:hanging="360"/>
      </w:pPr>
      <w:rPr>
        <w:rFonts w:hint="default"/>
        <w:b/>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691AA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B15AC4"/>
    <w:multiLevelType w:val="multilevel"/>
    <w:tmpl w:val="27C4E094"/>
    <w:lvl w:ilvl="0">
      <w:start w:val="1"/>
      <w:numFmt w:val="decimal"/>
      <w:lvlText w:val="%1."/>
      <w:lvlJc w:val="left"/>
      <w:pPr>
        <w:ind w:left="360" w:hanging="360"/>
      </w:pPr>
    </w:lvl>
    <w:lvl w:ilvl="1">
      <w:start w:val="1"/>
      <w:numFmt w:val="decimal"/>
      <w:lvlText w:val="%1.%2."/>
      <w:lvlJc w:val="left"/>
      <w:pPr>
        <w:ind w:left="792" w:hanging="432"/>
      </w:pPr>
      <w:rPr>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FA34F3"/>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45B0520"/>
    <w:multiLevelType w:val="multilevel"/>
    <w:tmpl w:val="2D3CC8A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B3E442B"/>
    <w:multiLevelType w:val="multilevel"/>
    <w:tmpl w:val="7902DCCC"/>
    <w:lvl w:ilvl="0">
      <w:start w:val="1"/>
      <w:numFmt w:val="decimal"/>
      <w:lvlText w:val="%1."/>
      <w:lvlJc w:val="left"/>
      <w:pPr>
        <w:ind w:left="786" w:hanging="360"/>
      </w:pPr>
      <w:rPr>
        <w:rFonts w:hint="default"/>
        <w:b/>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BAF4964"/>
    <w:multiLevelType w:val="multilevel"/>
    <w:tmpl w:val="04601D0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D85A0C"/>
    <w:multiLevelType w:val="hybridMultilevel"/>
    <w:tmpl w:val="6DAA8CEA"/>
    <w:lvl w:ilvl="0" w:tplc="606ED2F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10"/>
  </w:num>
  <w:num w:numId="5">
    <w:abstractNumId w:val="1"/>
  </w:num>
  <w:num w:numId="6">
    <w:abstractNumId w:val="2"/>
  </w:num>
  <w:num w:numId="7">
    <w:abstractNumId w:val="4"/>
  </w:num>
  <w:num w:numId="8">
    <w:abstractNumId w:val="8"/>
  </w:num>
  <w:num w:numId="9">
    <w:abstractNumId w:val="7"/>
  </w:num>
  <w:num w:numId="10">
    <w:abstractNumId w:val="7"/>
  </w:num>
  <w:num w:numId="11">
    <w:abstractNumId w:val="7"/>
  </w:num>
  <w:num w:numId="12">
    <w:abstractNumId w:val="7"/>
  </w:num>
  <w:num w:numId="13">
    <w:abstractNumId w:val="5"/>
  </w:num>
  <w:num w:numId="14">
    <w:abstractNumId w:val="3"/>
  </w:num>
  <w:num w:numId="15">
    <w:abstractNumId w:val="9"/>
  </w:num>
  <w:num w:numId="16">
    <w:abstractNumId w:val="7"/>
  </w:num>
  <w:num w:numId="17">
    <w:abstractNumId w:val="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1D0"/>
    <w:rsid w:val="000333E0"/>
    <w:rsid w:val="00043533"/>
    <w:rsid w:val="00047D1C"/>
    <w:rsid w:val="0005060E"/>
    <w:rsid w:val="00057242"/>
    <w:rsid w:val="000572E0"/>
    <w:rsid w:val="0006111F"/>
    <w:rsid w:val="00076E44"/>
    <w:rsid w:val="00084997"/>
    <w:rsid w:val="000D677C"/>
    <w:rsid w:val="000E1BDC"/>
    <w:rsid w:val="000E64C3"/>
    <w:rsid w:val="000F0C95"/>
    <w:rsid w:val="00104DAE"/>
    <w:rsid w:val="00114817"/>
    <w:rsid w:val="0012151E"/>
    <w:rsid w:val="001259C3"/>
    <w:rsid w:val="00137468"/>
    <w:rsid w:val="00150A02"/>
    <w:rsid w:val="00161FFE"/>
    <w:rsid w:val="001A6072"/>
    <w:rsid w:val="001B1711"/>
    <w:rsid w:val="001D355E"/>
    <w:rsid w:val="001F6B02"/>
    <w:rsid w:val="00203EAE"/>
    <w:rsid w:val="00207A46"/>
    <w:rsid w:val="0023763D"/>
    <w:rsid w:val="0024066B"/>
    <w:rsid w:val="002514A2"/>
    <w:rsid w:val="002537E4"/>
    <w:rsid w:val="00277CDC"/>
    <w:rsid w:val="002B3590"/>
    <w:rsid w:val="002B6055"/>
    <w:rsid w:val="002C7C44"/>
    <w:rsid w:val="002D7EEE"/>
    <w:rsid w:val="002F0078"/>
    <w:rsid w:val="002F4D33"/>
    <w:rsid w:val="003013EE"/>
    <w:rsid w:val="003125E8"/>
    <w:rsid w:val="003545CF"/>
    <w:rsid w:val="00360A4B"/>
    <w:rsid w:val="003714BD"/>
    <w:rsid w:val="00383707"/>
    <w:rsid w:val="00387BA3"/>
    <w:rsid w:val="003A0CE3"/>
    <w:rsid w:val="003B42F4"/>
    <w:rsid w:val="003B55C8"/>
    <w:rsid w:val="003C4819"/>
    <w:rsid w:val="003E60ED"/>
    <w:rsid w:val="003F2286"/>
    <w:rsid w:val="003F3E1B"/>
    <w:rsid w:val="0042288E"/>
    <w:rsid w:val="00435582"/>
    <w:rsid w:val="00443102"/>
    <w:rsid w:val="00474602"/>
    <w:rsid w:val="00486E60"/>
    <w:rsid w:val="00487D77"/>
    <w:rsid w:val="00490E38"/>
    <w:rsid w:val="004B085E"/>
    <w:rsid w:val="004F39F2"/>
    <w:rsid w:val="00524BAD"/>
    <w:rsid w:val="00526A14"/>
    <w:rsid w:val="005421A3"/>
    <w:rsid w:val="005437BC"/>
    <w:rsid w:val="00575564"/>
    <w:rsid w:val="005808BF"/>
    <w:rsid w:val="00590917"/>
    <w:rsid w:val="005A780B"/>
    <w:rsid w:val="005F3E2C"/>
    <w:rsid w:val="00603120"/>
    <w:rsid w:val="00604CC3"/>
    <w:rsid w:val="00624ECB"/>
    <w:rsid w:val="00652A5C"/>
    <w:rsid w:val="006A41F7"/>
    <w:rsid w:val="006A5A06"/>
    <w:rsid w:val="006D27F0"/>
    <w:rsid w:val="006E129C"/>
    <w:rsid w:val="006F1E26"/>
    <w:rsid w:val="00700D50"/>
    <w:rsid w:val="007033FE"/>
    <w:rsid w:val="00710DF4"/>
    <w:rsid w:val="00724F66"/>
    <w:rsid w:val="007304E8"/>
    <w:rsid w:val="00737DCF"/>
    <w:rsid w:val="007427BA"/>
    <w:rsid w:val="00786A9F"/>
    <w:rsid w:val="0079046B"/>
    <w:rsid w:val="00796CB1"/>
    <w:rsid w:val="007A07D5"/>
    <w:rsid w:val="007B7EB2"/>
    <w:rsid w:val="007C49AD"/>
    <w:rsid w:val="007C4F58"/>
    <w:rsid w:val="007C7A59"/>
    <w:rsid w:val="007D3408"/>
    <w:rsid w:val="007D5464"/>
    <w:rsid w:val="007E5232"/>
    <w:rsid w:val="00820E9C"/>
    <w:rsid w:val="0082311B"/>
    <w:rsid w:val="00841EF0"/>
    <w:rsid w:val="008711CE"/>
    <w:rsid w:val="008864ED"/>
    <w:rsid w:val="008910FE"/>
    <w:rsid w:val="0089458C"/>
    <w:rsid w:val="008D18C8"/>
    <w:rsid w:val="008D238F"/>
    <w:rsid w:val="008E1766"/>
    <w:rsid w:val="009137FF"/>
    <w:rsid w:val="009727F0"/>
    <w:rsid w:val="0097282F"/>
    <w:rsid w:val="0099583A"/>
    <w:rsid w:val="009B2AA4"/>
    <w:rsid w:val="009B7414"/>
    <w:rsid w:val="009D017F"/>
    <w:rsid w:val="009D1156"/>
    <w:rsid w:val="009F0AA0"/>
    <w:rsid w:val="009F786E"/>
    <w:rsid w:val="00A033E1"/>
    <w:rsid w:val="00A043DF"/>
    <w:rsid w:val="00A10522"/>
    <w:rsid w:val="00A14DA4"/>
    <w:rsid w:val="00A60CFF"/>
    <w:rsid w:val="00A6297D"/>
    <w:rsid w:val="00A81016"/>
    <w:rsid w:val="00AA44E2"/>
    <w:rsid w:val="00AA698F"/>
    <w:rsid w:val="00AA7138"/>
    <w:rsid w:val="00AB1327"/>
    <w:rsid w:val="00AE1D79"/>
    <w:rsid w:val="00AE36DB"/>
    <w:rsid w:val="00B351D0"/>
    <w:rsid w:val="00B56BF0"/>
    <w:rsid w:val="00B75FCE"/>
    <w:rsid w:val="00BA2878"/>
    <w:rsid w:val="00BF5217"/>
    <w:rsid w:val="00C10C82"/>
    <w:rsid w:val="00C1181F"/>
    <w:rsid w:val="00C17835"/>
    <w:rsid w:val="00C75F3F"/>
    <w:rsid w:val="00C87EAD"/>
    <w:rsid w:val="00CA709E"/>
    <w:rsid w:val="00CC6904"/>
    <w:rsid w:val="00CD1E52"/>
    <w:rsid w:val="00CD5BE7"/>
    <w:rsid w:val="00CE4CB2"/>
    <w:rsid w:val="00D13C72"/>
    <w:rsid w:val="00D3720E"/>
    <w:rsid w:val="00D400C1"/>
    <w:rsid w:val="00D93284"/>
    <w:rsid w:val="00D95176"/>
    <w:rsid w:val="00D95B46"/>
    <w:rsid w:val="00DA12B2"/>
    <w:rsid w:val="00DB30E3"/>
    <w:rsid w:val="00DD76D5"/>
    <w:rsid w:val="00DE25D9"/>
    <w:rsid w:val="00E01DE9"/>
    <w:rsid w:val="00E06CD0"/>
    <w:rsid w:val="00E12105"/>
    <w:rsid w:val="00E3045E"/>
    <w:rsid w:val="00E34A6D"/>
    <w:rsid w:val="00E7587F"/>
    <w:rsid w:val="00E93301"/>
    <w:rsid w:val="00EA4E9A"/>
    <w:rsid w:val="00EA742D"/>
    <w:rsid w:val="00EC0E11"/>
    <w:rsid w:val="00ED47D5"/>
    <w:rsid w:val="00EF1EA6"/>
    <w:rsid w:val="00F0383C"/>
    <w:rsid w:val="00F67075"/>
    <w:rsid w:val="00F8350B"/>
    <w:rsid w:val="00FB71F4"/>
    <w:rsid w:val="00FC20DE"/>
    <w:rsid w:val="00FD7366"/>
    <w:rsid w:val="00FE62CE"/>
    <w:rsid w:val="12E67BA8"/>
    <w:rsid w:val="135EFA43"/>
    <w:rsid w:val="3F99669F"/>
    <w:rsid w:val="70CCFC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90ECD"/>
  <w15:chartTrackingRefBased/>
  <w15:docId w15:val="{5020F4EC-9C25-4C31-8402-CAA85FB7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Heading2"/>
    <w:link w:val="Heading1Char"/>
    <w:qFormat/>
    <w:rsid w:val="008D18C8"/>
    <w:pPr>
      <w:keepNext/>
      <w:spacing w:before="240" w:after="60" w:line="240" w:lineRule="auto"/>
      <w:outlineLvl w:val="0"/>
    </w:pPr>
    <w:rPr>
      <w:rFonts w:ascii="Times New Roman" w:eastAsia="Times New Roman" w:hAnsi="Times New Roman" w:cs="Times New Roman"/>
      <w:b/>
      <w:kern w:val="28"/>
      <w:szCs w:val="20"/>
    </w:rPr>
  </w:style>
  <w:style w:type="paragraph" w:styleId="Heading2">
    <w:name w:val="heading 2"/>
    <w:basedOn w:val="Normal"/>
    <w:next w:val="Normal"/>
    <w:link w:val="Heading2Char"/>
    <w:unhideWhenUsed/>
    <w:qFormat/>
    <w:rsid w:val="008D18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1D0"/>
    <w:pPr>
      <w:tabs>
        <w:tab w:val="center" w:pos="4819"/>
        <w:tab w:val="right" w:pos="9638"/>
      </w:tabs>
      <w:spacing w:after="0" w:line="240" w:lineRule="auto"/>
    </w:pPr>
  </w:style>
  <w:style w:type="character" w:customStyle="1" w:styleId="HeaderChar">
    <w:name w:val="Header Char"/>
    <w:basedOn w:val="DefaultParagraphFont"/>
    <w:link w:val="Header"/>
    <w:uiPriority w:val="99"/>
    <w:rsid w:val="00B351D0"/>
  </w:style>
  <w:style w:type="paragraph" w:styleId="Footer">
    <w:name w:val="footer"/>
    <w:basedOn w:val="Normal"/>
    <w:link w:val="FooterChar"/>
    <w:uiPriority w:val="99"/>
    <w:unhideWhenUsed/>
    <w:rsid w:val="00B351D0"/>
    <w:pPr>
      <w:tabs>
        <w:tab w:val="center" w:pos="4819"/>
        <w:tab w:val="right" w:pos="9638"/>
      </w:tabs>
      <w:spacing w:after="0" w:line="240" w:lineRule="auto"/>
    </w:pPr>
  </w:style>
  <w:style w:type="character" w:customStyle="1" w:styleId="FooterChar">
    <w:name w:val="Footer Char"/>
    <w:basedOn w:val="DefaultParagraphFont"/>
    <w:link w:val="Footer"/>
    <w:uiPriority w:val="99"/>
    <w:rsid w:val="00B351D0"/>
  </w:style>
  <w:style w:type="paragraph" w:styleId="ListParagraph">
    <w:name w:val="List Paragraph"/>
    <w:basedOn w:val="Normal"/>
    <w:uiPriority w:val="34"/>
    <w:qFormat/>
    <w:rsid w:val="00B351D0"/>
    <w:pPr>
      <w:ind w:left="720"/>
      <w:contextualSpacing/>
    </w:pPr>
  </w:style>
  <w:style w:type="table" w:styleId="TableGrid">
    <w:name w:val="Table Grid"/>
    <w:basedOn w:val="TableNormal"/>
    <w:uiPriority w:val="59"/>
    <w:rsid w:val="00B35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E25D9"/>
    <w:rPr>
      <w:sz w:val="16"/>
      <w:szCs w:val="16"/>
    </w:rPr>
  </w:style>
  <w:style w:type="paragraph" w:styleId="CommentText">
    <w:name w:val="annotation text"/>
    <w:basedOn w:val="Normal"/>
    <w:link w:val="CommentTextChar"/>
    <w:uiPriority w:val="99"/>
    <w:unhideWhenUsed/>
    <w:rsid w:val="00DE25D9"/>
    <w:pPr>
      <w:spacing w:line="240" w:lineRule="auto"/>
    </w:pPr>
    <w:rPr>
      <w:sz w:val="20"/>
      <w:szCs w:val="20"/>
    </w:rPr>
  </w:style>
  <w:style w:type="character" w:customStyle="1" w:styleId="CommentTextChar">
    <w:name w:val="Comment Text Char"/>
    <w:basedOn w:val="DefaultParagraphFont"/>
    <w:link w:val="CommentText"/>
    <w:uiPriority w:val="99"/>
    <w:rsid w:val="00DE25D9"/>
    <w:rPr>
      <w:sz w:val="20"/>
      <w:szCs w:val="20"/>
    </w:rPr>
  </w:style>
  <w:style w:type="paragraph" w:styleId="CommentSubject">
    <w:name w:val="annotation subject"/>
    <w:basedOn w:val="CommentText"/>
    <w:next w:val="CommentText"/>
    <w:link w:val="CommentSubjectChar"/>
    <w:uiPriority w:val="99"/>
    <w:semiHidden/>
    <w:unhideWhenUsed/>
    <w:rsid w:val="00DE25D9"/>
    <w:rPr>
      <w:b/>
      <w:bCs/>
    </w:rPr>
  </w:style>
  <w:style w:type="character" w:customStyle="1" w:styleId="CommentSubjectChar">
    <w:name w:val="Comment Subject Char"/>
    <w:basedOn w:val="CommentTextChar"/>
    <w:link w:val="CommentSubject"/>
    <w:uiPriority w:val="99"/>
    <w:semiHidden/>
    <w:rsid w:val="00DE25D9"/>
    <w:rPr>
      <w:b/>
      <w:bCs/>
      <w:sz w:val="20"/>
      <w:szCs w:val="20"/>
    </w:rPr>
  </w:style>
  <w:style w:type="paragraph" w:styleId="BalloonText">
    <w:name w:val="Balloon Text"/>
    <w:basedOn w:val="Normal"/>
    <w:link w:val="BalloonTextChar"/>
    <w:uiPriority w:val="99"/>
    <w:semiHidden/>
    <w:unhideWhenUsed/>
    <w:rsid w:val="00DE2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5D9"/>
    <w:rPr>
      <w:rFonts w:ascii="Segoe UI" w:hAnsi="Segoe UI" w:cs="Segoe UI"/>
      <w:sz w:val="18"/>
      <w:szCs w:val="18"/>
    </w:rPr>
  </w:style>
  <w:style w:type="character" w:customStyle="1" w:styleId="font71">
    <w:name w:val="font71"/>
    <w:basedOn w:val="DefaultParagraphFont"/>
    <w:rsid w:val="003C4819"/>
    <w:rPr>
      <w:rFonts w:ascii="Times New Roman" w:hAnsi="Times New Roman" w:cs="Times New Roman" w:hint="default"/>
      <w:b w:val="0"/>
      <w:bCs w:val="0"/>
      <w:i/>
      <w:iCs/>
      <w:strike w:val="0"/>
      <w:dstrike w:val="0"/>
      <w:color w:val="000000"/>
      <w:sz w:val="22"/>
      <w:szCs w:val="22"/>
      <w:u w:val="none"/>
      <w:effect w:val="none"/>
    </w:rPr>
  </w:style>
  <w:style w:type="character" w:customStyle="1" w:styleId="font271">
    <w:name w:val="font27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font251">
    <w:name w:val="font25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Heading1Char">
    <w:name w:val="Heading 1 Char"/>
    <w:basedOn w:val="DefaultParagraphFont"/>
    <w:link w:val="Heading1"/>
    <w:rsid w:val="008D18C8"/>
    <w:rPr>
      <w:rFonts w:ascii="Times New Roman" w:eastAsia="Times New Roman" w:hAnsi="Times New Roman" w:cs="Times New Roman"/>
      <w:b/>
      <w:kern w:val="28"/>
      <w:szCs w:val="20"/>
    </w:rPr>
  </w:style>
  <w:style w:type="character" w:customStyle="1" w:styleId="Heading2Char">
    <w:name w:val="Heading 2 Char"/>
    <w:basedOn w:val="DefaultParagraphFont"/>
    <w:link w:val="Heading2"/>
    <w:rsid w:val="008D18C8"/>
    <w:rPr>
      <w:rFonts w:asciiTheme="majorHAnsi" w:eastAsiaTheme="majorEastAsia" w:hAnsiTheme="majorHAnsi" w:cstheme="majorBidi"/>
      <w:color w:val="2E74B5" w:themeColor="accent1" w:themeShade="BF"/>
      <w:sz w:val="26"/>
      <w:szCs w:val="26"/>
    </w:rPr>
  </w:style>
  <w:style w:type="paragraph" w:customStyle="1" w:styleId="normal-p">
    <w:name w:val="normal-p"/>
    <w:basedOn w:val="Normal"/>
    <w:rsid w:val="005421A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DefaultParagraphFont"/>
    <w:rsid w:val="005421A3"/>
  </w:style>
  <w:style w:type="character" w:customStyle="1" w:styleId="font241">
    <w:name w:val="font241"/>
    <w:basedOn w:val="DefaultParagraphFont"/>
    <w:rsid w:val="002F0078"/>
    <w:rPr>
      <w:rFonts w:ascii="Times New Roman" w:hAnsi="Times New Roman" w:cs="Times New Roman" w:hint="default"/>
      <w:b w:val="0"/>
      <w:bCs w:val="0"/>
      <w:i/>
      <w:iCs/>
      <w:strike w:val="0"/>
      <w:dstrike w:val="0"/>
      <w:color w:val="auto"/>
      <w:sz w:val="20"/>
      <w:szCs w:val="20"/>
      <w:u w:val="none"/>
      <w:effect w:val="none"/>
    </w:rPr>
  </w:style>
  <w:style w:type="character" w:customStyle="1" w:styleId="font221">
    <w:name w:val="font221"/>
    <w:basedOn w:val="DefaultParagraphFont"/>
    <w:rsid w:val="002F0078"/>
    <w:rPr>
      <w:rFonts w:ascii="Times New Roman" w:hAnsi="Times New Roman" w:cs="Times New Roman" w:hint="default"/>
      <w:b w:val="0"/>
      <w:bCs w:val="0"/>
      <w:i/>
      <w:iCs/>
      <w:strike w:val="0"/>
      <w:dstrike w:val="0"/>
      <w:color w:val="auto"/>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634526">
      <w:bodyDiv w:val="1"/>
      <w:marLeft w:val="0"/>
      <w:marRight w:val="0"/>
      <w:marTop w:val="0"/>
      <w:marBottom w:val="0"/>
      <w:divBdr>
        <w:top w:val="none" w:sz="0" w:space="0" w:color="auto"/>
        <w:left w:val="none" w:sz="0" w:space="0" w:color="auto"/>
        <w:bottom w:val="none" w:sz="0" w:space="0" w:color="auto"/>
        <w:right w:val="none" w:sz="0" w:space="0" w:color="auto"/>
      </w:divBdr>
    </w:div>
    <w:div w:id="434058083">
      <w:bodyDiv w:val="1"/>
      <w:marLeft w:val="0"/>
      <w:marRight w:val="0"/>
      <w:marTop w:val="0"/>
      <w:marBottom w:val="0"/>
      <w:divBdr>
        <w:top w:val="none" w:sz="0" w:space="0" w:color="auto"/>
        <w:left w:val="none" w:sz="0" w:space="0" w:color="auto"/>
        <w:bottom w:val="none" w:sz="0" w:space="0" w:color="auto"/>
        <w:right w:val="none" w:sz="0" w:space="0" w:color="auto"/>
      </w:divBdr>
    </w:div>
    <w:div w:id="1011759689">
      <w:bodyDiv w:val="1"/>
      <w:marLeft w:val="0"/>
      <w:marRight w:val="0"/>
      <w:marTop w:val="0"/>
      <w:marBottom w:val="0"/>
      <w:divBdr>
        <w:top w:val="none" w:sz="0" w:space="0" w:color="auto"/>
        <w:left w:val="none" w:sz="0" w:space="0" w:color="auto"/>
        <w:bottom w:val="none" w:sz="0" w:space="0" w:color="auto"/>
        <w:right w:val="none" w:sz="0" w:space="0" w:color="auto"/>
      </w:divBdr>
    </w:div>
    <w:div w:id="1039401769">
      <w:bodyDiv w:val="1"/>
      <w:marLeft w:val="0"/>
      <w:marRight w:val="0"/>
      <w:marTop w:val="0"/>
      <w:marBottom w:val="0"/>
      <w:divBdr>
        <w:top w:val="none" w:sz="0" w:space="0" w:color="auto"/>
        <w:left w:val="none" w:sz="0" w:space="0" w:color="auto"/>
        <w:bottom w:val="none" w:sz="0" w:space="0" w:color="auto"/>
        <w:right w:val="none" w:sz="0" w:space="0" w:color="auto"/>
      </w:divBdr>
    </w:div>
    <w:div w:id="1389382291">
      <w:bodyDiv w:val="1"/>
      <w:marLeft w:val="0"/>
      <w:marRight w:val="0"/>
      <w:marTop w:val="0"/>
      <w:marBottom w:val="0"/>
      <w:divBdr>
        <w:top w:val="none" w:sz="0" w:space="0" w:color="auto"/>
        <w:left w:val="none" w:sz="0" w:space="0" w:color="auto"/>
        <w:bottom w:val="none" w:sz="0" w:space="0" w:color="auto"/>
        <w:right w:val="none" w:sz="0" w:space="0" w:color="auto"/>
      </w:divBdr>
    </w:div>
    <w:div w:id="145918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Procesų valdymo skyrius|1d2453fc-c175-46b4-b9fe-6151c1a059d8;Finansų skyrius|7d9d544b-d496-4126-a894-fd0e68da2d8e;Energetikos ir aplinkos apsaugos projektų skyrius|66914be9-8437-476f-ab9d-874648d15705</j6fdf40a0e1e4c27b9444f6dc0ea131b>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B08E6-4F96-4FF1-9FFD-EA9E150A8226}">
  <ds:schemaRefs>
    <ds:schemaRef ds:uri="a843bbba-5665-4b5f-aacc-cdcb1c804839"/>
    <ds:schemaRef ds:uri="f5ebda27-b626-448f-a7d1-d1cf5ad133fa"/>
    <ds:schemaRef ds:uri="http://purl.org/dc/terms/"/>
    <ds:schemaRef ds:uri="http://schemas.microsoft.com/office/2006/documentManagement/types"/>
    <ds:schemaRef ds:uri="4b2e9d09-07c5-42d4-ad0a-92e216c40b99"/>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028236e2-f653-4d19-ab67-4d06a9145e0c"/>
    <ds:schemaRef ds:uri="http://schemas.microsoft.com/office/2006/metadata/properties"/>
  </ds:schemaRefs>
</ds:datastoreItem>
</file>

<file path=customXml/itemProps2.xml><?xml version="1.0" encoding="utf-8"?>
<ds:datastoreItem xmlns:ds="http://schemas.openxmlformats.org/officeDocument/2006/customXml" ds:itemID="{FFA04220-C06E-4ADD-B6BB-1ABCD37A436D}">
  <ds:schemaRefs>
    <ds:schemaRef ds:uri="http://schemas.microsoft.com/sharepoint/v3/contenttype/forms"/>
  </ds:schemaRefs>
</ds:datastoreItem>
</file>

<file path=customXml/itemProps3.xml><?xml version="1.0" encoding="utf-8"?>
<ds:datastoreItem xmlns:ds="http://schemas.openxmlformats.org/officeDocument/2006/customXml" ds:itemID="{EFA0433B-8225-4DA1-AEBE-F9ED77B3A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779402-EAE4-462E-91E2-B44DC0084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2845</Words>
  <Characters>1622</Characters>
  <Application>Microsoft Office Word</Application>
  <DocSecurity>4</DocSecurity>
  <Lines>13</Lines>
  <Paragraphs>8</Paragraphs>
  <ScaleCrop>false</ScaleCrop>
  <HeadingPairs>
    <vt:vector size="2" baseType="variant">
      <vt:variant>
        <vt:lpstr>Title</vt:lpstr>
      </vt:variant>
      <vt:variant>
        <vt:i4>1</vt:i4>
      </vt:variant>
    </vt:vector>
  </HeadingPairs>
  <TitlesOfParts>
    <vt:vector size="1" baseType="lpstr">
      <vt:lpstr>Naudos ir kokybės vertinimo  PL</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Naudos ir kokybės vertinimo  PL</dc:title>
  <dc:subject/>
  <dc:creator>Zita  Markevičienė</dc:creator>
  <cp:keywords/>
  <dc:description/>
  <cp:lastModifiedBy>Tautvydas Umbražūnas</cp:lastModifiedBy>
  <cp:revision>2</cp:revision>
  <dcterms:created xsi:type="dcterms:W3CDTF">2024-04-18T07:38:00Z</dcterms:created>
  <dcterms:modified xsi:type="dcterms:W3CDTF">2024-04-18T07:38:00Z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TaxCatchAll">
    <vt:lpwstr>62;#Finansų skyrius|7d9d544b-d496-4126-a894-fd0e68da2d8e;#3680;#Energetikos ir aplinkos apsaugos projektų skyrius|66914be9-8437-476f-ab9d-874648d15705;#3308;#Procesų valdymo skyrius|1d2453fc-c175-46b4-b9fe-6151c1a059d8</vt:lpwstr>
  </property>
  <property fmtid="{D5CDD505-2E9C-101B-9397-08002B2CF9AE}" pid="4" name="DmsPermissionsFlags">
    <vt:lpwstr>,SECTRUE,</vt:lpwstr>
  </property>
  <property fmtid="{D5CDD505-2E9C-101B-9397-08002B2CF9AE}" pid="5" name="DmsPermissionsDivisions">
    <vt:lpwstr>3169;#Darnaus transporto projektų skyrius|ac541b4c-a511-49a1-b192-8ec1ac837a74</vt:lpwstr>
  </property>
  <property fmtid="{D5CDD505-2E9C-101B-9397-08002B2CF9AE}" pid="6" name="ContentTypeId">
    <vt:lpwstr>0x010100D76F90AF19434866994CD715ED8FEE4200712820E1B0DE314FBCE77D75ADAD206D</vt:lpwstr>
  </property>
  <property fmtid="{D5CDD505-2E9C-101B-9397-08002B2CF9AE}" pid="7" name="DmsPermissionsUsers">
    <vt:lpwstr>149;#Tautvydas Umbražūnas;#145;#Audrius Tamkus</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