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21" w:rsidRDefault="00C95D21">
      <w:pPr>
        <w:tabs>
          <w:tab w:val="center" w:pos="4986"/>
          <w:tab w:val="right" w:pos="9972"/>
        </w:tabs>
      </w:pPr>
    </w:p>
    <w:p w:rsidR="00C95D21" w:rsidRDefault="00651846">
      <w:pPr>
        <w:ind w:left="9639"/>
        <w:jc w:val="both"/>
        <w:rPr>
          <w:szCs w:val="24"/>
        </w:rPr>
      </w:pPr>
      <w:r>
        <w:rPr>
          <w:bCs/>
          <w:szCs w:val="24"/>
        </w:rPr>
        <w:t xml:space="preserve">Civilinės saugos stiprinimo ir plėtros programos pažangos priemonės Nr. 01-004-10-04-01 „Stiprinti gyventojų perspėjimą, informavimą ir savisaugą“ </w:t>
      </w:r>
      <w:r>
        <w:rPr>
          <w:szCs w:val="24"/>
        </w:rPr>
        <w:t xml:space="preserve">aprašo </w:t>
      </w:r>
    </w:p>
    <w:p w:rsidR="00C95D21" w:rsidRDefault="00651846">
      <w:pPr>
        <w:ind w:left="9639"/>
        <w:jc w:val="both"/>
        <w:rPr>
          <w:szCs w:val="24"/>
        </w:rPr>
      </w:pPr>
      <w:r>
        <w:rPr>
          <w:szCs w:val="24"/>
        </w:rPr>
        <w:t>1</w:t>
      </w:r>
      <w:r>
        <w:rPr>
          <w:szCs w:val="24"/>
        </w:rPr>
        <w:t xml:space="preserve"> priedas</w:t>
      </w:r>
    </w:p>
    <w:p w:rsidR="00C95D21" w:rsidRDefault="00C95D21">
      <w:pPr>
        <w:jc w:val="center"/>
        <w:rPr>
          <w:iCs/>
          <w:szCs w:val="24"/>
        </w:rPr>
      </w:pPr>
    </w:p>
    <w:p w:rsidR="00C95D21" w:rsidRDefault="00C95D21">
      <w:pPr>
        <w:jc w:val="center"/>
        <w:rPr>
          <w:i/>
          <w:szCs w:val="24"/>
        </w:rPr>
      </w:pPr>
    </w:p>
    <w:p w:rsidR="00C95D21" w:rsidRDefault="00651846">
      <w:pPr>
        <w:jc w:val="center"/>
        <w:rPr>
          <w:i/>
          <w:szCs w:val="24"/>
        </w:rPr>
      </w:pPr>
      <w:r>
        <w:rPr>
          <w:b/>
          <w:bCs/>
          <w:szCs w:val="24"/>
        </w:rPr>
        <w:t xml:space="preserve">CIVILINĖS </w:t>
      </w:r>
      <w:r>
        <w:rPr>
          <w:b/>
          <w:bCs/>
          <w:szCs w:val="24"/>
        </w:rPr>
        <w:t>SAUGOS STIPRINIMO IR PLĖTROS PROGRAMOS PAŽANGOS PRIEMONĖS NR. 01-004-10-04-01 „STIPRINTI GYVENTOJŲ PERSPĖJIMĄ, INFORMAVIMĄ IR SAVISAUGĄ“ VEIKLOS „PARAMA GYVENTOJŲ PERSPĖJIMO IR INFORMAVIMO INFRASTRUKTŪROS PLĖTRAI VIDURIO IR VAKARŲ LIETUVOS REGIONE“ PROJEKT</w:t>
      </w:r>
      <w:r>
        <w:rPr>
          <w:b/>
          <w:bCs/>
          <w:szCs w:val="24"/>
        </w:rPr>
        <w:t>Ų FINANSAVIMO SĄLYGŲ APRAŠAS NR. 1</w:t>
      </w:r>
    </w:p>
    <w:p w:rsidR="00C95D21" w:rsidRDefault="00C95D21">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C95D21">
        <w:tc>
          <w:tcPr>
            <w:tcW w:w="15155" w:type="dxa"/>
            <w:gridSpan w:val="13"/>
            <w:vAlign w:val="center"/>
          </w:tcPr>
          <w:p w:rsidR="00C95D21" w:rsidRDefault="00651846">
            <w:pPr>
              <w:jc w:val="center"/>
              <w:rPr>
                <w:b/>
                <w:sz w:val="22"/>
                <w:szCs w:val="22"/>
              </w:rPr>
            </w:pPr>
            <w:r>
              <w:rPr>
                <w:b/>
                <w:sz w:val="22"/>
                <w:szCs w:val="22"/>
              </w:rPr>
              <w:t>VEIKLOS AR POVEIKLĖS, KURIOMS NUSTATOMOS PROJEKTŲ FINANSAVIMO SĄLYGOS</w:t>
            </w:r>
          </w:p>
        </w:tc>
      </w:tr>
      <w:tr w:rsidR="00C95D21">
        <w:tc>
          <w:tcPr>
            <w:tcW w:w="1110" w:type="dxa"/>
            <w:vAlign w:val="center"/>
          </w:tcPr>
          <w:p w:rsidR="00C95D21" w:rsidRDefault="00651846">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rsidR="00C95D21" w:rsidRDefault="00651846">
            <w:pPr>
              <w:jc w:val="center"/>
              <w:rPr>
                <w:b/>
                <w:sz w:val="20"/>
              </w:rPr>
            </w:pPr>
            <w:proofErr w:type="spellStart"/>
            <w:r>
              <w:rPr>
                <w:b/>
                <w:sz w:val="20"/>
              </w:rPr>
              <w:t>Finansa</w:t>
            </w:r>
            <w:proofErr w:type="spellEnd"/>
            <w:r>
              <w:rPr>
                <w:b/>
                <w:sz w:val="20"/>
              </w:rPr>
              <w:t>-vimo šaltinis</w:t>
            </w:r>
          </w:p>
        </w:tc>
        <w:tc>
          <w:tcPr>
            <w:tcW w:w="1236" w:type="dxa"/>
            <w:vAlign w:val="center"/>
          </w:tcPr>
          <w:p w:rsidR="00C95D21" w:rsidRDefault="00651846">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rsidR="00C95D21" w:rsidRDefault="00651846">
            <w:pPr>
              <w:jc w:val="center"/>
              <w:rPr>
                <w:b/>
                <w:sz w:val="20"/>
              </w:rPr>
            </w:pPr>
            <w:r>
              <w:rPr>
                <w:b/>
                <w:bCs/>
                <w:sz w:val="20"/>
              </w:rPr>
              <w:t>Uždavinys ar priemonė</w:t>
            </w:r>
          </w:p>
        </w:tc>
        <w:tc>
          <w:tcPr>
            <w:tcW w:w="1134" w:type="dxa"/>
            <w:vAlign w:val="center"/>
          </w:tcPr>
          <w:p w:rsidR="00C95D21" w:rsidRDefault="00651846">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rsidR="00C95D21" w:rsidRDefault="00651846">
            <w:pPr>
              <w:jc w:val="center"/>
              <w:rPr>
                <w:b/>
                <w:sz w:val="20"/>
              </w:rPr>
            </w:pPr>
            <w:r>
              <w:rPr>
                <w:b/>
                <w:sz w:val="20"/>
              </w:rPr>
              <w:t xml:space="preserve">Intervencinės </w:t>
            </w:r>
            <w:r>
              <w:rPr>
                <w:b/>
                <w:sz w:val="20"/>
              </w:rPr>
              <w:t>priemonės kodas</w:t>
            </w:r>
          </w:p>
        </w:tc>
        <w:tc>
          <w:tcPr>
            <w:tcW w:w="1344" w:type="dxa"/>
            <w:vAlign w:val="center"/>
          </w:tcPr>
          <w:p w:rsidR="00C95D21" w:rsidRDefault="00651846">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rsidR="00C95D21" w:rsidRDefault="00651846">
            <w:pPr>
              <w:jc w:val="center"/>
              <w:rPr>
                <w:b/>
                <w:sz w:val="20"/>
              </w:rPr>
            </w:pPr>
            <w:r>
              <w:rPr>
                <w:b/>
                <w:bCs/>
                <w:sz w:val="20"/>
              </w:rPr>
              <w:t>Paramos formos kodas</w:t>
            </w:r>
          </w:p>
        </w:tc>
        <w:tc>
          <w:tcPr>
            <w:tcW w:w="1344" w:type="dxa"/>
            <w:vAlign w:val="center"/>
          </w:tcPr>
          <w:p w:rsidR="00C95D21" w:rsidRDefault="00651846">
            <w:pPr>
              <w:jc w:val="center"/>
              <w:rPr>
                <w:b/>
                <w:sz w:val="20"/>
              </w:rPr>
            </w:pPr>
            <w:r>
              <w:rPr>
                <w:b/>
                <w:bCs/>
                <w:sz w:val="20"/>
              </w:rPr>
              <w:t>Pagrindinės teritorinės srities kodas (-ai)</w:t>
            </w:r>
          </w:p>
        </w:tc>
        <w:tc>
          <w:tcPr>
            <w:tcW w:w="1051" w:type="dxa"/>
            <w:vAlign w:val="center"/>
          </w:tcPr>
          <w:p w:rsidR="00C95D21" w:rsidRDefault="00651846">
            <w:pPr>
              <w:jc w:val="center"/>
              <w:rPr>
                <w:b/>
                <w:bCs/>
                <w:sz w:val="20"/>
              </w:rPr>
            </w:pPr>
            <w:proofErr w:type="spellStart"/>
            <w:r>
              <w:rPr>
                <w:b/>
                <w:bCs/>
                <w:sz w:val="20"/>
              </w:rPr>
              <w:t>Ekono</w:t>
            </w:r>
            <w:proofErr w:type="spellEnd"/>
            <w:r>
              <w:rPr>
                <w:b/>
                <w:bCs/>
                <w:sz w:val="20"/>
              </w:rPr>
              <w:t xml:space="preserve">-minės veiklos kodas </w:t>
            </w:r>
          </w:p>
          <w:p w:rsidR="00C95D21" w:rsidRDefault="00651846">
            <w:pPr>
              <w:jc w:val="center"/>
              <w:rPr>
                <w:b/>
                <w:sz w:val="20"/>
              </w:rPr>
            </w:pPr>
            <w:r>
              <w:rPr>
                <w:b/>
                <w:bCs/>
                <w:sz w:val="20"/>
              </w:rPr>
              <w:t>(-ai)</w:t>
            </w:r>
          </w:p>
        </w:tc>
        <w:tc>
          <w:tcPr>
            <w:tcW w:w="1132" w:type="dxa"/>
            <w:vAlign w:val="center"/>
          </w:tcPr>
          <w:p w:rsidR="00C95D21" w:rsidRDefault="00651846">
            <w:pPr>
              <w:jc w:val="center"/>
              <w:rPr>
                <w:b/>
                <w:bCs/>
                <w:sz w:val="20"/>
              </w:rPr>
            </w:pPr>
            <w:r>
              <w:rPr>
                <w:b/>
                <w:bCs/>
                <w:sz w:val="20"/>
              </w:rPr>
              <w:t>„Europos socialinio fondo +“ (toliau – ESF+) antrinių temų kodai</w:t>
            </w:r>
          </w:p>
        </w:tc>
        <w:tc>
          <w:tcPr>
            <w:tcW w:w="859" w:type="dxa"/>
            <w:vAlign w:val="center"/>
          </w:tcPr>
          <w:p w:rsidR="00C95D21" w:rsidRDefault="00651846">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rsidR="00C95D21" w:rsidRDefault="00651846">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rsidR="00C95D21" w:rsidRDefault="00651846">
            <w:pPr>
              <w:jc w:val="center"/>
              <w:rPr>
                <w:b/>
                <w:bCs/>
                <w:sz w:val="20"/>
              </w:rPr>
            </w:pPr>
            <w:r>
              <w:rPr>
                <w:b/>
                <w:sz w:val="20"/>
              </w:rPr>
              <w:t>(Taip / Ne)</w:t>
            </w:r>
          </w:p>
        </w:tc>
      </w:tr>
      <w:tr w:rsidR="00C95D21">
        <w:trPr>
          <w:trHeight w:val="278"/>
        </w:trPr>
        <w:tc>
          <w:tcPr>
            <w:tcW w:w="1110" w:type="dxa"/>
            <w:tcMar>
              <w:left w:w="28" w:type="dxa"/>
              <w:right w:w="28" w:type="dxa"/>
            </w:tcMar>
          </w:tcPr>
          <w:p w:rsidR="00C95D21" w:rsidRDefault="00651846">
            <w:pPr>
              <w:ind w:firstLine="48"/>
              <w:jc w:val="center"/>
              <w:rPr>
                <w:iCs/>
                <w:sz w:val="18"/>
                <w:szCs w:val="18"/>
              </w:rPr>
            </w:pPr>
            <w:r>
              <w:rPr>
                <w:iCs/>
                <w:sz w:val="20"/>
              </w:rPr>
              <w:t>„Parama gyventojų perspėjimo ir informavimo infrastruktūros plėtrai“ Vidurio ir vakarų Lietuvos regione</w:t>
            </w:r>
          </w:p>
        </w:tc>
        <w:tc>
          <w:tcPr>
            <w:tcW w:w="1125" w:type="dxa"/>
            <w:tcMar>
              <w:left w:w="28" w:type="dxa"/>
              <w:right w:w="28" w:type="dxa"/>
            </w:tcMar>
          </w:tcPr>
          <w:p w:rsidR="00C95D21" w:rsidRDefault="00651846">
            <w:pPr>
              <w:jc w:val="center"/>
              <w:rPr>
                <w:bCs/>
                <w:iCs/>
                <w:sz w:val="18"/>
                <w:szCs w:val="18"/>
              </w:rPr>
            </w:pPr>
            <w:r>
              <w:rPr>
                <w:bCs/>
                <w:iCs/>
                <w:sz w:val="18"/>
                <w:szCs w:val="18"/>
              </w:rPr>
              <w:t>2021–2027</w:t>
            </w:r>
          </w:p>
          <w:p w:rsidR="00C95D21" w:rsidRDefault="00651846">
            <w:pPr>
              <w:jc w:val="center"/>
              <w:rPr>
                <w:bCs/>
                <w:iCs/>
                <w:sz w:val="18"/>
                <w:szCs w:val="18"/>
              </w:rPr>
            </w:pPr>
            <w:r>
              <w:rPr>
                <w:bCs/>
                <w:iCs/>
                <w:sz w:val="18"/>
                <w:szCs w:val="18"/>
              </w:rPr>
              <w:t>metų</w:t>
            </w:r>
          </w:p>
          <w:p w:rsidR="00C95D21" w:rsidRDefault="00651846">
            <w:pPr>
              <w:jc w:val="center"/>
              <w:rPr>
                <w:bCs/>
                <w:iCs/>
                <w:sz w:val="18"/>
                <w:szCs w:val="18"/>
              </w:rPr>
            </w:pPr>
            <w:r>
              <w:rPr>
                <w:bCs/>
                <w:iCs/>
                <w:sz w:val="18"/>
                <w:szCs w:val="18"/>
              </w:rPr>
              <w:t>Europos</w:t>
            </w:r>
          </w:p>
          <w:p w:rsidR="00C95D21" w:rsidRDefault="00651846">
            <w:pPr>
              <w:jc w:val="center"/>
              <w:rPr>
                <w:bCs/>
                <w:iCs/>
                <w:sz w:val="18"/>
                <w:szCs w:val="18"/>
              </w:rPr>
            </w:pPr>
            <w:r>
              <w:rPr>
                <w:bCs/>
                <w:iCs/>
                <w:sz w:val="18"/>
                <w:szCs w:val="18"/>
              </w:rPr>
              <w:t>Sąjungos</w:t>
            </w:r>
          </w:p>
          <w:p w:rsidR="00C95D21" w:rsidRDefault="00651846">
            <w:pPr>
              <w:jc w:val="center"/>
              <w:rPr>
                <w:bCs/>
                <w:iCs/>
                <w:sz w:val="18"/>
                <w:szCs w:val="18"/>
              </w:rPr>
            </w:pPr>
            <w:r>
              <w:rPr>
                <w:bCs/>
                <w:iCs/>
                <w:sz w:val="18"/>
                <w:szCs w:val="18"/>
              </w:rPr>
              <w:t>fondų</w:t>
            </w:r>
          </w:p>
          <w:p w:rsidR="00C95D21" w:rsidRDefault="00651846">
            <w:pPr>
              <w:jc w:val="center"/>
              <w:rPr>
                <w:bCs/>
                <w:iCs/>
                <w:sz w:val="18"/>
                <w:szCs w:val="18"/>
              </w:rPr>
            </w:pPr>
            <w:r>
              <w:rPr>
                <w:bCs/>
                <w:iCs/>
                <w:sz w:val="18"/>
                <w:szCs w:val="18"/>
              </w:rPr>
              <w:t>investicijų</w:t>
            </w:r>
          </w:p>
          <w:p w:rsidR="00C95D21" w:rsidRDefault="00651846">
            <w:pPr>
              <w:jc w:val="center"/>
              <w:rPr>
                <w:bCs/>
                <w:iCs/>
                <w:sz w:val="18"/>
                <w:szCs w:val="18"/>
              </w:rPr>
            </w:pPr>
            <w:r>
              <w:rPr>
                <w:bCs/>
                <w:iCs/>
                <w:sz w:val="18"/>
                <w:szCs w:val="18"/>
              </w:rPr>
              <w:t>programa</w:t>
            </w:r>
          </w:p>
          <w:p w:rsidR="00C95D21" w:rsidRDefault="00651846">
            <w:pPr>
              <w:jc w:val="center"/>
              <w:rPr>
                <w:bCs/>
                <w:iCs/>
                <w:sz w:val="18"/>
                <w:szCs w:val="18"/>
              </w:rPr>
            </w:pPr>
            <w:r>
              <w:rPr>
                <w:bCs/>
                <w:iCs/>
                <w:sz w:val="18"/>
                <w:szCs w:val="18"/>
              </w:rPr>
              <w:t>(toliau –</w:t>
            </w:r>
          </w:p>
          <w:p w:rsidR="00C95D21" w:rsidRDefault="00651846">
            <w:pPr>
              <w:jc w:val="center"/>
              <w:rPr>
                <w:bCs/>
                <w:iCs/>
                <w:sz w:val="18"/>
                <w:szCs w:val="18"/>
              </w:rPr>
            </w:pPr>
            <w:r>
              <w:rPr>
                <w:bCs/>
                <w:iCs/>
                <w:sz w:val="18"/>
                <w:szCs w:val="18"/>
              </w:rPr>
              <w:t>Investicijų</w:t>
            </w:r>
          </w:p>
          <w:p w:rsidR="00C95D21" w:rsidRDefault="00651846">
            <w:pPr>
              <w:jc w:val="center"/>
              <w:rPr>
                <w:b/>
                <w:i/>
                <w:sz w:val="18"/>
                <w:szCs w:val="18"/>
              </w:rPr>
            </w:pPr>
            <w:r>
              <w:rPr>
                <w:bCs/>
                <w:iCs/>
                <w:sz w:val="18"/>
                <w:szCs w:val="18"/>
              </w:rPr>
              <w:t>programa)</w:t>
            </w:r>
          </w:p>
        </w:tc>
        <w:tc>
          <w:tcPr>
            <w:tcW w:w="1236" w:type="dxa"/>
            <w:tcMar>
              <w:left w:w="28" w:type="dxa"/>
              <w:right w:w="28" w:type="dxa"/>
            </w:tcMar>
          </w:tcPr>
          <w:p w:rsidR="00C95D21" w:rsidRDefault="00651846">
            <w:pPr>
              <w:jc w:val="center"/>
              <w:rPr>
                <w:sz w:val="18"/>
                <w:szCs w:val="18"/>
              </w:rPr>
            </w:pPr>
            <w:r>
              <w:rPr>
                <w:sz w:val="18"/>
                <w:szCs w:val="18"/>
              </w:rPr>
              <w:t>2</w:t>
            </w:r>
          </w:p>
        </w:tc>
        <w:tc>
          <w:tcPr>
            <w:tcW w:w="1134" w:type="dxa"/>
            <w:tcMar>
              <w:left w:w="28" w:type="dxa"/>
              <w:right w:w="28" w:type="dxa"/>
            </w:tcMar>
          </w:tcPr>
          <w:p w:rsidR="00C95D21" w:rsidRDefault="00651846">
            <w:pPr>
              <w:jc w:val="center"/>
              <w:rPr>
                <w:sz w:val="18"/>
                <w:szCs w:val="18"/>
              </w:rPr>
            </w:pPr>
            <w:r>
              <w:rPr>
                <w:sz w:val="18"/>
                <w:szCs w:val="18"/>
              </w:rPr>
              <w:t>2.4</w:t>
            </w:r>
          </w:p>
        </w:tc>
        <w:tc>
          <w:tcPr>
            <w:tcW w:w="1134" w:type="dxa"/>
            <w:tcMar>
              <w:left w:w="28" w:type="dxa"/>
              <w:right w:w="28" w:type="dxa"/>
            </w:tcMar>
          </w:tcPr>
          <w:p w:rsidR="00C95D21" w:rsidRDefault="00651846">
            <w:pPr>
              <w:jc w:val="center"/>
              <w:rPr>
                <w:sz w:val="18"/>
              </w:rPr>
            </w:pPr>
            <w:r>
              <w:rPr>
                <w:sz w:val="18"/>
              </w:rPr>
              <w:t>2.4.5 –</w:t>
            </w:r>
          </w:p>
          <w:p w:rsidR="00C95D21" w:rsidRDefault="00651846">
            <w:pPr>
              <w:jc w:val="center"/>
              <w:rPr>
                <w:sz w:val="18"/>
                <w:szCs w:val="18"/>
              </w:rPr>
            </w:pPr>
            <w:r>
              <w:rPr>
                <w:sz w:val="18"/>
                <w:szCs w:val="18"/>
              </w:rPr>
              <w:t>Plėsti gyventojų perspėjimo ir informavimo infrastruktūrą</w:t>
            </w:r>
          </w:p>
          <w:p w:rsidR="00C95D21" w:rsidRDefault="00C95D21">
            <w:pPr>
              <w:jc w:val="center"/>
              <w:rPr>
                <w:i/>
                <w:sz w:val="18"/>
                <w:szCs w:val="18"/>
              </w:rPr>
            </w:pPr>
          </w:p>
        </w:tc>
        <w:tc>
          <w:tcPr>
            <w:tcW w:w="1457" w:type="dxa"/>
            <w:tcMar>
              <w:left w:w="28" w:type="dxa"/>
              <w:right w:w="28" w:type="dxa"/>
            </w:tcMar>
          </w:tcPr>
          <w:p w:rsidR="00C95D21" w:rsidRDefault="00651846">
            <w:pPr>
              <w:jc w:val="center"/>
              <w:rPr>
                <w:iCs/>
                <w:sz w:val="18"/>
                <w:szCs w:val="18"/>
              </w:rPr>
            </w:pPr>
            <w:r>
              <w:rPr>
                <w:iCs/>
                <w:sz w:val="18"/>
                <w:szCs w:val="18"/>
              </w:rPr>
              <w:t>060 –</w:t>
            </w:r>
          </w:p>
          <w:p w:rsidR="00C95D21" w:rsidRDefault="00651846">
            <w:pPr>
              <w:jc w:val="center"/>
              <w:rPr>
                <w:iCs/>
                <w:sz w:val="18"/>
                <w:szCs w:val="18"/>
              </w:rPr>
            </w:pPr>
            <w:r>
              <w:rPr>
                <w:iCs/>
                <w:sz w:val="18"/>
                <w:szCs w:val="18"/>
              </w:rPr>
              <w:t xml:space="preserve">Prisitaikymo prie klimato kaitos priemonės, su klimato kaita susijusios rizikos prevencija ir valdymas: kita, pvz. audros ir sausra (įskaitant </w:t>
            </w:r>
            <w:r>
              <w:rPr>
                <w:iCs/>
                <w:sz w:val="18"/>
                <w:szCs w:val="18"/>
              </w:rPr>
              <w:t xml:space="preserve">informuotumo didinimą, civilinės saugos ir nelaimių valdymo sistemas, infrastruktūrą ir </w:t>
            </w:r>
            <w:r>
              <w:rPr>
                <w:iCs/>
                <w:sz w:val="18"/>
                <w:szCs w:val="18"/>
              </w:rPr>
              <w:lastRenderedPageBreak/>
              <w:t>ekosistemomis grindžiamus metodus)</w:t>
            </w:r>
          </w:p>
          <w:p w:rsidR="00C95D21" w:rsidRDefault="00C95D21">
            <w:pPr>
              <w:jc w:val="center"/>
              <w:rPr>
                <w:iCs/>
                <w:sz w:val="18"/>
                <w:szCs w:val="18"/>
              </w:rPr>
            </w:pPr>
          </w:p>
        </w:tc>
        <w:tc>
          <w:tcPr>
            <w:tcW w:w="1344" w:type="dxa"/>
            <w:tcMar>
              <w:left w:w="28" w:type="dxa"/>
              <w:right w:w="28" w:type="dxa"/>
            </w:tcMar>
          </w:tcPr>
          <w:p w:rsidR="00C95D21" w:rsidRDefault="00651846">
            <w:pPr>
              <w:jc w:val="center"/>
              <w:rPr>
                <w:iCs/>
                <w:sz w:val="18"/>
                <w:szCs w:val="18"/>
              </w:rPr>
            </w:pPr>
            <w:r>
              <w:rPr>
                <w:iCs/>
                <w:sz w:val="18"/>
                <w:szCs w:val="18"/>
              </w:rPr>
              <w:lastRenderedPageBreak/>
              <w:t xml:space="preserve">Vidurio ir vakarų Lietuvos regionas </w:t>
            </w:r>
          </w:p>
          <w:p w:rsidR="00C95D21" w:rsidRDefault="00C95D21">
            <w:pPr>
              <w:jc w:val="center"/>
              <w:rPr>
                <w:iCs/>
                <w:sz w:val="18"/>
                <w:szCs w:val="18"/>
              </w:rPr>
            </w:pPr>
          </w:p>
        </w:tc>
        <w:tc>
          <w:tcPr>
            <w:tcW w:w="1080" w:type="dxa"/>
            <w:tcMar>
              <w:left w:w="28" w:type="dxa"/>
              <w:right w:w="28" w:type="dxa"/>
            </w:tcMar>
          </w:tcPr>
          <w:p w:rsidR="00C95D21" w:rsidRDefault="00651846">
            <w:pPr>
              <w:jc w:val="center"/>
              <w:rPr>
                <w:iCs/>
                <w:sz w:val="18"/>
                <w:szCs w:val="18"/>
              </w:rPr>
            </w:pPr>
            <w:r>
              <w:rPr>
                <w:iCs/>
                <w:sz w:val="18"/>
                <w:szCs w:val="18"/>
              </w:rPr>
              <w:t>01 – Dotacija</w:t>
            </w:r>
          </w:p>
        </w:tc>
        <w:tc>
          <w:tcPr>
            <w:tcW w:w="1344" w:type="dxa"/>
            <w:tcMar>
              <w:left w:w="28" w:type="dxa"/>
              <w:right w:w="28" w:type="dxa"/>
            </w:tcMar>
          </w:tcPr>
          <w:p w:rsidR="00C95D21" w:rsidRDefault="00651846">
            <w:pPr>
              <w:jc w:val="center"/>
              <w:rPr>
                <w:sz w:val="18"/>
                <w:szCs w:val="18"/>
              </w:rPr>
            </w:pPr>
            <w:r>
              <w:rPr>
                <w:sz w:val="18"/>
                <w:szCs w:val="18"/>
              </w:rPr>
              <w:t xml:space="preserve">33 – Nesiorientuojant į </w:t>
            </w:r>
            <w:proofErr w:type="spellStart"/>
            <w:r>
              <w:rPr>
                <w:sz w:val="18"/>
                <w:szCs w:val="18"/>
              </w:rPr>
              <w:t>teritoriškumą</w:t>
            </w:r>
            <w:proofErr w:type="spellEnd"/>
          </w:p>
        </w:tc>
        <w:tc>
          <w:tcPr>
            <w:tcW w:w="1051" w:type="dxa"/>
            <w:tcMar>
              <w:left w:w="28" w:type="dxa"/>
              <w:right w:w="28" w:type="dxa"/>
            </w:tcMar>
          </w:tcPr>
          <w:p w:rsidR="00C95D21" w:rsidRDefault="00651846">
            <w:pPr>
              <w:jc w:val="center"/>
              <w:rPr>
                <w:sz w:val="18"/>
                <w:szCs w:val="18"/>
              </w:rPr>
            </w:pPr>
            <w:r>
              <w:rPr>
                <w:sz w:val="18"/>
              </w:rPr>
              <w:t>24 –</w:t>
            </w:r>
            <w:r>
              <w:rPr>
                <w:sz w:val="18"/>
                <w:szCs w:val="18"/>
              </w:rPr>
              <w:t xml:space="preserve"> </w:t>
            </w:r>
            <w:r>
              <w:rPr>
                <w:sz w:val="18"/>
              </w:rPr>
              <w:t>Su aplinka susijusi veikla</w:t>
            </w:r>
          </w:p>
          <w:p w:rsidR="00C95D21" w:rsidRDefault="00C95D21">
            <w:pPr>
              <w:jc w:val="center"/>
              <w:rPr>
                <w:sz w:val="18"/>
                <w:szCs w:val="18"/>
              </w:rPr>
            </w:pPr>
          </w:p>
        </w:tc>
        <w:tc>
          <w:tcPr>
            <w:tcW w:w="1132" w:type="dxa"/>
            <w:tcMar>
              <w:left w:w="28" w:type="dxa"/>
              <w:right w:w="28" w:type="dxa"/>
            </w:tcMar>
          </w:tcPr>
          <w:p w:rsidR="00C95D21" w:rsidRDefault="00651846">
            <w:pPr>
              <w:jc w:val="center"/>
              <w:rPr>
                <w:sz w:val="18"/>
                <w:szCs w:val="18"/>
              </w:rPr>
            </w:pPr>
            <w:r>
              <w:rPr>
                <w:sz w:val="18"/>
              </w:rPr>
              <w:t>–</w:t>
            </w:r>
          </w:p>
        </w:tc>
        <w:tc>
          <w:tcPr>
            <w:tcW w:w="859" w:type="dxa"/>
            <w:tcMar>
              <w:left w:w="28" w:type="dxa"/>
              <w:right w:w="28" w:type="dxa"/>
            </w:tcMar>
          </w:tcPr>
          <w:p w:rsidR="00C95D21" w:rsidRDefault="00651846">
            <w:pPr>
              <w:jc w:val="center"/>
              <w:rPr>
                <w:sz w:val="18"/>
                <w:szCs w:val="18"/>
              </w:rPr>
            </w:pPr>
            <w:r>
              <w:rPr>
                <w:sz w:val="18"/>
                <w:szCs w:val="18"/>
              </w:rPr>
              <w:t>03 –</w:t>
            </w:r>
          </w:p>
          <w:p w:rsidR="00C95D21" w:rsidRDefault="00651846">
            <w:pPr>
              <w:jc w:val="center"/>
              <w:rPr>
                <w:sz w:val="18"/>
                <w:szCs w:val="18"/>
              </w:rPr>
            </w:pPr>
            <w:r>
              <w:rPr>
                <w:sz w:val="18"/>
                <w:szCs w:val="18"/>
              </w:rPr>
              <w:t>Ne</w:t>
            </w:r>
            <w:r>
              <w:rPr>
                <w:sz w:val="18"/>
                <w:szCs w:val="18"/>
              </w:rPr>
              <w:t>utralu-</w:t>
            </w:r>
            <w:proofErr w:type="spellStart"/>
            <w:r>
              <w:rPr>
                <w:sz w:val="18"/>
                <w:szCs w:val="18"/>
              </w:rPr>
              <w:t>mas</w:t>
            </w:r>
            <w:proofErr w:type="spellEnd"/>
          </w:p>
          <w:p w:rsidR="00C95D21" w:rsidRDefault="00651846">
            <w:pPr>
              <w:jc w:val="center"/>
              <w:rPr>
                <w:sz w:val="18"/>
                <w:szCs w:val="18"/>
              </w:rPr>
            </w:pPr>
            <w:r>
              <w:rPr>
                <w:sz w:val="18"/>
                <w:szCs w:val="18"/>
              </w:rPr>
              <w:t>lyties požiūriu</w:t>
            </w:r>
          </w:p>
        </w:tc>
        <w:tc>
          <w:tcPr>
            <w:tcW w:w="1149" w:type="dxa"/>
          </w:tcPr>
          <w:p w:rsidR="00C95D21" w:rsidRDefault="00651846">
            <w:pPr>
              <w:jc w:val="center"/>
              <w:rPr>
                <w:sz w:val="18"/>
                <w:szCs w:val="18"/>
              </w:rPr>
            </w:pPr>
            <w:r>
              <w:rPr>
                <w:sz w:val="18"/>
                <w:szCs w:val="18"/>
              </w:rPr>
              <w:t>Ne</w:t>
            </w:r>
          </w:p>
        </w:tc>
      </w:tr>
    </w:tbl>
    <w:p w:rsidR="00C95D21" w:rsidRDefault="00C95D21">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C95D21">
        <w:trPr>
          <w:trHeight w:val="405"/>
        </w:trPr>
        <w:tc>
          <w:tcPr>
            <w:tcW w:w="3783" w:type="dxa"/>
            <w:shd w:val="clear" w:color="auto" w:fill="auto"/>
            <w:vAlign w:val="center"/>
          </w:tcPr>
          <w:p w:rsidR="00C95D21" w:rsidRDefault="00651846">
            <w:pPr>
              <w:jc w:val="center"/>
              <w:rPr>
                <w:sz w:val="22"/>
                <w:szCs w:val="22"/>
              </w:rPr>
            </w:pPr>
            <w:r>
              <w:rPr>
                <w:sz w:val="22"/>
                <w:szCs w:val="22"/>
              </w:rPr>
              <w:t>Rodiklio pavadinimas</w:t>
            </w:r>
          </w:p>
        </w:tc>
        <w:tc>
          <w:tcPr>
            <w:tcW w:w="3784" w:type="dxa"/>
            <w:shd w:val="clear" w:color="auto" w:fill="auto"/>
            <w:vAlign w:val="center"/>
          </w:tcPr>
          <w:p w:rsidR="00C95D21" w:rsidRDefault="00651846">
            <w:pPr>
              <w:jc w:val="center"/>
              <w:rPr>
                <w:sz w:val="22"/>
                <w:szCs w:val="22"/>
              </w:rPr>
            </w:pPr>
            <w:r>
              <w:rPr>
                <w:sz w:val="22"/>
                <w:szCs w:val="22"/>
              </w:rPr>
              <w:t>Rodiklio kodas</w:t>
            </w:r>
          </w:p>
        </w:tc>
        <w:tc>
          <w:tcPr>
            <w:tcW w:w="3783" w:type="dxa"/>
            <w:shd w:val="clear" w:color="auto" w:fill="auto"/>
            <w:vAlign w:val="center"/>
          </w:tcPr>
          <w:p w:rsidR="00C95D21" w:rsidRDefault="00651846">
            <w:pPr>
              <w:jc w:val="center"/>
              <w:rPr>
                <w:sz w:val="22"/>
                <w:szCs w:val="22"/>
              </w:rPr>
            </w:pPr>
            <w:r>
              <w:rPr>
                <w:sz w:val="22"/>
                <w:szCs w:val="22"/>
              </w:rPr>
              <w:t>Matavimo vienetai</w:t>
            </w:r>
          </w:p>
        </w:tc>
        <w:tc>
          <w:tcPr>
            <w:tcW w:w="3784" w:type="dxa"/>
            <w:shd w:val="clear" w:color="auto" w:fill="auto"/>
            <w:vAlign w:val="center"/>
          </w:tcPr>
          <w:p w:rsidR="00C95D21" w:rsidRDefault="00651846">
            <w:pPr>
              <w:jc w:val="center"/>
              <w:rPr>
                <w:sz w:val="22"/>
                <w:szCs w:val="22"/>
              </w:rPr>
            </w:pPr>
            <w:r>
              <w:rPr>
                <w:sz w:val="22"/>
                <w:szCs w:val="22"/>
              </w:rPr>
              <w:t>Siektina reikšmė ir pasiekimo data</w:t>
            </w:r>
          </w:p>
        </w:tc>
      </w:tr>
      <w:tr w:rsidR="00C95D21">
        <w:trPr>
          <w:trHeight w:val="416"/>
        </w:trPr>
        <w:tc>
          <w:tcPr>
            <w:tcW w:w="3783" w:type="dxa"/>
          </w:tcPr>
          <w:p w:rsidR="00C95D21" w:rsidRDefault="00651846">
            <w:pPr>
              <w:jc w:val="both"/>
              <w:rPr>
                <w:sz w:val="22"/>
                <w:szCs w:val="22"/>
              </w:rPr>
            </w:pPr>
            <w:r>
              <w:rPr>
                <w:sz w:val="22"/>
                <w:szCs w:val="22"/>
              </w:rPr>
              <w:t>Investicijos į naujas arba atnaujintas gaivalinių nelaimių stebėsenos, pasirengimo joms, įspėjimo apie jas ir reagavimo į jas sistemas</w:t>
            </w:r>
          </w:p>
        </w:tc>
        <w:tc>
          <w:tcPr>
            <w:tcW w:w="3784" w:type="dxa"/>
          </w:tcPr>
          <w:p w:rsidR="00C95D21" w:rsidRDefault="00651846">
            <w:pPr>
              <w:jc w:val="center"/>
              <w:rPr>
                <w:sz w:val="22"/>
                <w:szCs w:val="22"/>
              </w:rPr>
            </w:pPr>
            <w:r>
              <w:rPr>
                <w:sz w:val="22"/>
                <w:szCs w:val="22"/>
              </w:rPr>
              <w:t>P-01-004-10-04-01-01</w:t>
            </w:r>
          </w:p>
          <w:p w:rsidR="00C95D21" w:rsidRDefault="00651846">
            <w:pPr>
              <w:jc w:val="center"/>
              <w:rPr>
                <w:sz w:val="22"/>
                <w:szCs w:val="22"/>
              </w:rPr>
            </w:pPr>
            <w:r>
              <w:rPr>
                <w:sz w:val="22"/>
                <w:szCs w:val="22"/>
              </w:rPr>
              <w:t>P.B.2.0024</w:t>
            </w:r>
          </w:p>
        </w:tc>
        <w:tc>
          <w:tcPr>
            <w:tcW w:w="3783" w:type="dxa"/>
          </w:tcPr>
          <w:p w:rsidR="00C95D21" w:rsidRDefault="00651846">
            <w:pPr>
              <w:jc w:val="center"/>
              <w:rPr>
                <w:sz w:val="22"/>
                <w:szCs w:val="22"/>
              </w:rPr>
            </w:pPr>
            <w:r>
              <w:rPr>
                <w:sz w:val="22"/>
                <w:szCs w:val="22"/>
              </w:rPr>
              <w:t>Eurai</w:t>
            </w:r>
          </w:p>
        </w:tc>
        <w:tc>
          <w:tcPr>
            <w:tcW w:w="3784" w:type="dxa"/>
          </w:tcPr>
          <w:p w:rsidR="00C95D21" w:rsidRDefault="00651846">
            <w:pPr>
              <w:jc w:val="center"/>
              <w:rPr>
                <w:sz w:val="22"/>
                <w:szCs w:val="22"/>
              </w:rPr>
            </w:pPr>
            <w:r>
              <w:rPr>
                <w:sz w:val="22"/>
                <w:szCs w:val="22"/>
              </w:rPr>
              <w:t>5 500 000 (2029 m.)</w:t>
            </w:r>
          </w:p>
          <w:p w:rsidR="00C95D21" w:rsidRDefault="00C95D21">
            <w:pPr>
              <w:jc w:val="center"/>
              <w:rPr>
                <w:b/>
                <w:bCs/>
                <w:sz w:val="22"/>
                <w:szCs w:val="22"/>
                <w:lang w:val="en-US"/>
              </w:rPr>
            </w:pPr>
          </w:p>
        </w:tc>
      </w:tr>
      <w:tr w:rsidR="00C95D21">
        <w:trPr>
          <w:trHeight w:val="416"/>
        </w:trPr>
        <w:tc>
          <w:tcPr>
            <w:tcW w:w="3783" w:type="dxa"/>
          </w:tcPr>
          <w:p w:rsidR="00C95D21" w:rsidRDefault="00651846">
            <w:pPr>
              <w:jc w:val="both"/>
              <w:rPr>
                <w:sz w:val="22"/>
                <w:szCs w:val="22"/>
              </w:rPr>
            </w:pPr>
            <w:r>
              <w:rPr>
                <w:sz w:val="22"/>
                <w:szCs w:val="22"/>
              </w:rPr>
              <w:t>Gyventojai, kuriems taikomos apsaugos nuo su klimatu susijusių stichinių nelaimių ne tik pavojingose vietose priemonės</w:t>
            </w:r>
          </w:p>
        </w:tc>
        <w:tc>
          <w:tcPr>
            <w:tcW w:w="3784" w:type="dxa"/>
          </w:tcPr>
          <w:p w:rsidR="00C95D21" w:rsidRDefault="00651846">
            <w:pPr>
              <w:jc w:val="center"/>
              <w:rPr>
                <w:sz w:val="22"/>
                <w:szCs w:val="22"/>
              </w:rPr>
            </w:pPr>
            <w:r>
              <w:rPr>
                <w:sz w:val="22"/>
                <w:szCs w:val="22"/>
              </w:rPr>
              <w:t>R-01-004-10-04-01-0</w:t>
            </w:r>
            <w:r>
              <w:rPr>
                <w:sz w:val="22"/>
                <w:szCs w:val="22"/>
                <w:lang w:val="en-US"/>
              </w:rPr>
              <w:t>1</w:t>
            </w:r>
          </w:p>
          <w:p w:rsidR="00C95D21" w:rsidRDefault="00651846">
            <w:pPr>
              <w:jc w:val="center"/>
              <w:rPr>
                <w:sz w:val="22"/>
                <w:szCs w:val="22"/>
              </w:rPr>
            </w:pPr>
            <w:r>
              <w:rPr>
                <w:sz w:val="22"/>
                <w:szCs w:val="22"/>
              </w:rPr>
              <w:t>R.S.2.3011</w:t>
            </w:r>
          </w:p>
        </w:tc>
        <w:tc>
          <w:tcPr>
            <w:tcW w:w="3783" w:type="dxa"/>
          </w:tcPr>
          <w:p w:rsidR="00C95D21" w:rsidRDefault="00651846">
            <w:pPr>
              <w:jc w:val="center"/>
              <w:rPr>
                <w:sz w:val="22"/>
                <w:szCs w:val="22"/>
              </w:rPr>
            </w:pPr>
            <w:r>
              <w:rPr>
                <w:sz w:val="22"/>
                <w:szCs w:val="22"/>
              </w:rPr>
              <w:t>Asmenys</w:t>
            </w:r>
          </w:p>
        </w:tc>
        <w:tc>
          <w:tcPr>
            <w:tcW w:w="3784" w:type="dxa"/>
          </w:tcPr>
          <w:p w:rsidR="00C95D21" w:rsidRDefault="00651846">
            <w:pPr>
              <w:jc w:val="center"/>
              <w:rPr>
                <w:sz w:val="22"/>
                <w:szCs w:val="22"/>
              </w:rPr>
            </w:pPr>
            <w:r>
              <w:rPr>
                <w:sz w:val="22"/>
                <w:szCs w:val="22"/>
              </w:rPr>
              <w:t>1 317 833 (2029 m.)</w:t>
            </w:r>
          </w:p>
          <w:p w:rsidR="00C95D21" w:rsidRDefault="00C95D21">
            <w:pPr>
              <w:jc w:val="center"/>
              <w:rPr>
                <w:sz w:val="22"/>
                <w:szCs w:val="22"/>
              </w:rPr>
            </w:pPr>
          </w:p>
        </w:tc>
      </w:tr>
      <w:tr w:rsidR="00C95D21">
        <w:trPr>
          <w:trHeight w:val="416"/>
        </w:trPr>
        <w:tc>
          <w:tcPr>
            <w:tcW w:w="3783" w:type="dxa"/>
          </w:tcPr>
          <w:p w:rsidR="00C95D21" w:rsidRDefault="00651846">
            <w:pPr>
              <w:jc w:val="both"/>
              <w:rPr>
                <w:sz w:val="22"/>
                <w:szCs w:val="18"/>
              </w:rPr>
            </w:pPr>
            <w:r>
              <w:rPr>
                <w:sz w:val="22"/>
                <w:szCs w:val="18"/>
              </w:rPr>
              <w:t xml:space="preserve">Savivaldybėse </w:t>
            </w:r>
            <w:r>
              <w:rPr>
                <w:sz w:val="22"/>
                <w:szCs w:val="18"/>
              </w:rPr>
              <w:t>įrengta naujų centralizuoto valdymo sirenų skaičius</w:t>
            </w:r>
          </w:p>
        </w:tc>
        <w:tc>
          <w:tcPr>
            <w:tcW w:w="3784" w:type="dxa"/>
          </w:tcPr>
          <w:p w:rsidR="00C95D21" w:rsidRDefault="00651846">
            <w:pPr>
              <w:jc w:val="center"/>
              <w:rPr>
                <w:sz w:val="22"/>
                <w:szCs w:val="18"/>
              </w:rPr>
            </w:pPr>
            <w:r>
              <w:rPr>
                <w:sz w:val="22"/>
                <w:szCs w:val="18"/>
              </w:rPr>
              <w:t>P-01-004-10-04-01-02</w:t>
            </w:r>
          </w:p>
          <w:p w:rsidR="00C95D21" w:rsidRDefault="00651846">
            <w:pPr>
              <w:jc w:val="center"/>
              <w:rPr>
                <w:sz w:val="22"/>
                <w:szCs w:val="18"/>
              </w:rPr>
            </w:pPr>
            <w:r>
              <w:rPr>
                <w:sz w:val="22"/>
                <w:szCs w:val="22"/>
              </w:rPr>
              <w:t>P.N.2.4722</w:t>
            </w:r>
          </w:p>
        </w:tc>
        <w:tc>
          <w:tcPr>
            <w:tcW w:w="3783" w:type="dxa"/>
          </w:tcPr>
          <w:p w:rsidR="00C95D21" w:rsidRDefault="00651846">
            <w:pPr>
              <w:jc w:val="center"/>
              <w:rPr>
                <w:sz w:val="22"/>
                <w:szCs w:val="22"/>
              </w:rPr>
            </w:pPr>
            <w:r>
              <w:rPr>
                <w:sz w:val="22"/>
                <w:szCs w:val="22"/>
              </w:rPr>
              <w:t>Vienetai</w:t>
            </w:r>
          </w:p>
        </w:tc>
        <w:tc>
          <w:tcPr>
            <w:tcW w:w="3784" w:type="dxa"/>
          </w:tcPr>
          <w:p w:rsidR="00C95D21" w:rsidRDefault="00651846">
            <w:pPr>
              <w:jc w:val="center"/>
              <w:rPr>
                <w:sz w:val="22"/>
                <w:szCs w:val="22"/>
              </w:rPr>
            </w:pPr>
            <w:r>
              <w:rPr>
                <w:sz w:val="22"/>
                <w:szCs w:val="22"/>
              </w:rPr>
              <w:t>275 (2029 m.)</w:t>
            </w:r>
          </w:p>
        </w:tc>
      </w:tr>
    </w:tbl>
    <w:p w:rsidR="00C95D21" w:rsidRDefault="00C95D21">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C95D21">
        <w:trPr>
          <w:trHeight w:val="298"/>
        </w:trPr>
        <w:tc>
          <w:tcPr>
            <w:tcW w:w="15158" w:type="dxa"/>
          </w:tcPr>
          <w:p w:rsidR="00C95D21" w:rsidRDefault="00651846">
            <w:pPr>
              <w:jc w:val="both"/>
              <w:rPr>
                <w:szCs w:val="24"/>
              </w:rPr>
            </w:pPr>
            <w:r>
              <w:rPr>
                <w:szCs w:val="24"/>
              </w:rPr>
              <w:t>Ministerijos stebėsenos rodiklių aprašymo kortelės</w:t>
            </w:r>
          </w:p>
        </w:tc>
      </w:tr>
      <w:tr w:rsidR="00C95D21">
        <w:trPr>
          <w:trHeight w:val="315"/>
        </w:trPr>
        <w:tc>
          <w:tcPr>
            <w:tcW w:w="15158" w:type="dxa"/>
          </w:tcPr>
          <w:p w:rsidR="00C95D21" w:rsidRDefault="00651846">
            <w:pPr>
              <w:rPr>
                <w:i/>
                <w:szCs w:val="24"/>
              </w:rPr>
            </w:pPr>
            <w:r>
              <w:rPr>
                <w:color w:val="0000FF"/>
                <w:u w:val="single"/>
              </w:rPr>
              <w:t xml:space="preserve">Pažangos priemonė Nr. 01-004-10-04-01 „Stiprinti gyventojų perspėjimą, informavimą ir </w:t>
            </w:r>
            <w:r>
              <w:rPr>
                <w:color w:val="0000FF"/>
                <w:u w:val="single"/>
              </w:rPr>
              <w:t>savisaugą“ / Vidaus reikalų ministerija (</w:t>
            </w:r>
            <w:proofErr w:type="spellStart"/>
            <w:r>
              <w:rPr>
                <w:color w:val="0000FF"/>
                <w:u w:val="single"/>
              </w:rPr>
              <w:t>lrv.lt</w:t>
            </w:r>
            <w:proofErr w:type="spellEnd"/>
            <w:r>
              <w:rPr>
                <w:color w:val="0000FF"/>
                <w:u w:val="single"/>
              </w:rPr>
              <w:t>)</w:t>
            </w:r>
          </w:p>
        </w:tc>
      </w:tr>
    </w:tbl>
    <w:p w:rsidR="00C95D21" w:rsidRDefault="00C95D21">
      <w:pPr>
        <w:jc w:val="both"/>
        <w:rPr>
          <w:szCs w:val="24"/>
        </w:rPr>
      </w:pPr>
    </w:p>
    <w:p w:rsidR="00C95D21" w:rsidRDefault="00C95D21">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C95D21">
        <w:tc>
          <w:tcPr>
            <w:tcW w:w="15134" w:type="dxa"/>
          </w:tcPr>
          <w:p w:rsidR="00C95D21" w:rsidRDefault="00651846">
            <w:pPr>
              <w:rPr>
                <w:b/>
                <w:szCs w:val="24"/>
              </w:rPr>
            </w:pPr>
            <w:r>
              <w:rPr>
                <w:b/>
                <w:szCs w:val="24"/>
              </w:rPr>
              <w:t>SPECIALIEJI FINANSAVIMO REIKALAVIMAI</w:t>
            </w:r>
          </w:p>
        </w:tc>
      </w:tr>
      <w:tr w:rsidR="00C95D21">
        <w:tc>
          <w:tcPr>
            <w:tcW w:w="15134" w:type="dxa"/>
          </w:tcPr>
          <w:p w:rsidR="00C95D21" w:rsidRDefault="00651846">
            <w:pPr>
              <w:rPr>
                <w:b/>
                <w:bCs/>
                <w:szCs w:val="24"/>
              </w:rPr>
            </w:pPr>
            <w:r>
              <w:rPr>
                <w:b/>
                <w:bCs/>
                <w:szCs w:val="24"/>
              </w:rPr>
              <w:t>1. Taikomi teisės aktai</w:t>
            </w:r>
          </w:p>
        </w:tc>
      </w:tr>
      <w:tr w:rsidR="00C95D21">
        <w:tc>
          <w:tcPr>
            <w:tcW w:w="15134" w:type="dxa"/>
          </w:tcPr>
          <w:p w:rsidR="00C95D21" w:rsidRDefault="00651846">
            <w:pPr>
              <w:jc w:val="both"/>
            </w:pPr>
            <w:r>
              <w:t>Teisės aktai, kuriais vadovaujamasi rengiant, teikiant ir vertinant projektų įgyvendinimo planus (toliau – PĮP), priimant sprendimus dėl projektų finansavimo, sudarant projektų sutartis ir įgyvendinant projektus, finansuojamus pagal Civilinės saugos stipri</w:t>
            </w:r>
            <w:r>
              <w:t>nimo ir plėtros programos pažangos priemonės Nr. 01-004-10-04-01 „Stiprinti gyventojų perspėjimą, informavimą ir savisaugą“ veiklos „Parama gyventojų perspėjimo ir informavimo infrastruktūros plėtrai Vidurio ir vakarų Lietuvos regione“ projektų finansavimo</w:t>
            </w:r>
            <w:r>
              <w:t xml:space="preserve"> sąlygų aprašą (toliau – Aprašas): </w:t>
            </w:r>
          </w:p>
          <w:p w:rsidR="00C95D21" w:rsidRDefault="00C95D21">
            <w:pPr>
              <w:jc w:val="both"/>
            </w:pPr>
          </w:p>
          <w:p w:rsidR="00C95D21" w:rsidRDefault="00651846">
            <w:pPr>
              <w:jc w:val="both"/>
            </w:pPr>
            <w:r>
              <w:t xml:space="preserve">Bendrieji teisės aktai: </w:t>
            </w:r>
          </w:p>
          <w:p w:rsidR="00C95D21" w:rsidRDefault="00651846">
            <w:pPr>
              <w:jc w:val="both"/>
            </w:pPr>
            <w:r>
              <w:t>1.1. 2021 m. birželio 24 d. Europos Parlamento ir Tarybos reglamento (ES) 2021/1060, kuriuo nustatomos bendros Europos regioninės plėtros fondo, „Europos socialinio fondo +“, Sanglaudos fondo, T</w:t>
            </w:r>
            <w:r>
              <w:t xml:space="preserve">eisingos pertvarkos fondo ir Europos jūrų reikalų, žvejybos ir akvakultūros fondo nuostatos ir šių fondų bei Prieglobsčio, migracijos ir integracijos fondo, Vidaus saugumo fondo ir Sienų valdymo ir vizų politikos finansinės paramos priemonės taisyklės. </w:t>
            </w:r>
          </w:p>
          <w:p w:rsidR="00C95D21" w:rsidRDefault="00651846">
            <w:pPr>
              <w:jc w:val="both"/>
            </w:pPr>
            <w:r>
              <w:t>1.</w:t>
            </w:r>
            <w:r>
              <w:t>2. 2021–2027 metų Europos Sąjungos fondų investicijų programa, patvirtinta Europos Komisijos 2022 m. rugpjūčio 3 d. sprendimu Nr. C(2022) 5742.</w:t>
            </w:r>
          </w:p>
          <w:p w:rsidR="00C95D21" w:rsidRDefault="00651846">
            <w:pPr>
              <w:jc w:val="both"/>
            </w:pPr>
            <w:r>
              <w:lastRenderedPageBreak/>
              <w:t xml:space="preserve">1.3. 2021–2030 metų Nacionalinis pažangos planas, patvirtintas Lietuvos Respublikos Vyriausybės 2020 m. rugsėjo </w:t>
            </w:r>
            <w:r>
              <w:t>9 d. nutarimu Nr. 998 „Dėl 2021–2030 metų Nacionalinio pažangos plano patvirtinimo“ (toliau – Planas).</w:t>
            </w:r>
          </w:p>
          <w:p w:rsidR="00C95D21" w:rsidRDefault="00651846">
            <w:pPr>
              <w:ind w:firstLine="62"/>
              <w:jc w:val="both"/>
            </w:pPr>
            <w:r>
              <w:t>1.4. 2021–2027 metų Europos Sąjungos fondų investicijų programos ir Ekonomikos gaivinimo ir atsparumo didinimo plano „Naujos kartos Lietuva“ administravi</w:t>
            </w:r>
            <w:r>
              <w:t>mo taisyklės, patvirtintos Lietuvos Respublikos finansų ministro 2022 m. birželio 22 d. įsakymu Nr. 1K-237„Dėl 2021–2027 metų Europos Sąjungos fondų investicijų programos ir ekonomikos gaivinimo ir atsparumo didinimo plano „Naujos kartos Lietuva“ įgyvendin</w:t>
            </w:r>
            <w:r>
              <w:t xml:space="preserve">imo“ (toliau – Administravimo taisyklės). </w:t>
            </w:r>
          </w:p>
          <w:p w:rsidR="00C95D21" w:rsidRDefault="00651846">
            <w:pPr>
              <w:jc w:val="both"/>
            </w:pPr>
            <w:r>
              <w:t xml:space="preserve">1.5. Projektų administravimo ir finansavimo taisyklės, patvirtintos Lietuvos Respublikos finansų ministro 2022 m. birželio 22 d. įsakymu Nr. 1K-237 „Dėl 2021–2027 metų Europos Sąjungos fondų investicijų programos </w:t>
            </w:r>
            <w:r>
              <w:t>ir ekonomikos gaivinimo ir atsparumo didinimo plano „Naujos kartos Lietuva“ įgyvendinimo“ (toliau – Projektų administravimo ir finansavimo taisyklės).</w:t>
            </w:r>
          </w:p>
          <w:p w:rsidR="00C95D21" w:rsidRDefault="00651846">
            <w:pPr>
              <w:jc w:val="both"/>
              <w:rPr>
                <w:szCs w:val="24"/>
              </w:rPr>
            </w:pPr>
            <w:r>
              <w:t xml:space="preserve">1.6. </w:t>
            </w:r>
            <w:r>
              <w:rPr>
                <w:szCs w:val="24"/>
              </w:rPr>
              <w:t>Stebėsenos rodiklių nustatymo ir skaičiavimo aprašas, patvirtintas Lietuvos Respublikos finansų mini</w:t>
            </w:r>
            <w:r>
              <w:rPr>
                <w:szCs w:val="24"/>
              </w:rPr>
              <w:t>stro 2022 m. birželio 22 d. įsakymu Nr. 1K-237 „Dėl 2021–2027 metų Europos Sąjungos fondų investicijų programos ir Ekonomikos gaivinimo ir atsparumo didinimo plano „Naujos kartos Lietuva“ įgyvendinimo“.</w:t>
            </w:r>
          </w:p>
          <w:p w:rsidR="00C95D21" w:rsidRDefault="00C95D21">
            <w:pPr>
              <w:jc w:val="both"/>
            </w:pPr>
          </w:p>
          <w:p w:rsidR="00C95D21" w:rsidRDefault="00651846">
            <w:pPr>
              <w:jc w:val="both"/>
            </w:pPr>
            <w:r>
              <w:t xml:space="preserve">Specialieji teisės aktai: </w:t>
            </w:r>
          </w:p>
          <w:p w:rsidR="00C95D21" w:rsidRDefault="00651846">
            <w:pPr>
              <w:jc w:val="both"/>
            </w:pPr>
            <w:r>
              <w:t xml:space="preserve">1.7. Strateginio valdymo </w:t>
            </w:r>
            <w:r>
              <w:t xml:space="preserve">metodika, patvirtinta Lietuvos Respublikos Vyriausybės 2021 m. balandžio 28 d. nutarimu Nr. 292 „Dėl Strateginio valdymo metodikos patvirtinimo“ (toliau – Strateginio valdymo metodika). </w:t>
            </w:r>
          </w:p>
          <w:p w:rsidR="00C95D21" w:rsidRDefault="00651846">
            <w:pPr>
              <w:jc w:val="both"/>
            </w:pPr>
            <w:r>
              <w:t>1.8. Civilinės saugos stiprinimo ir plėtros programos pažangos priemo</w:t>
            </w:r>
            <w:r>
              <w:t xml:space="preserve">nės Nr. 01-004-10-04-01 „Stiprinti gyventojų perspėjimą, informavimą ir savisaugą“ aprašas, patvirtintas Lietuvos Respublikos vidaus reikalų ministro 2023 m. lapkričio 23 d. įsakymu Nr. 1V-738 „Dėl Civilinės saugos stiprinimo ir plėtros programos pažangos </w:t>
            </w:r>
            <w:r>
              <w:t>priemonės Nr. 01-004-10-04-01 „Stiprinti gyventojų perspėjimą, informavimą ir savisaugą“ aprašo patvirtinimo“.</w:t>
            </w:r>
          </w:p>
          <w:p w:rsidR="00C95D21" w:rsidRDefault="00651846">
            <w:pPr>
              <w:jc w:val="both"/>
            </w:pPr>
            <w:r>
              <w:t>1.9. Nacionalinė klimato kaitos valdymo darbotvarkė, patvirtinta Lietuvos Respublikos Seimo 2021 m. birželio 30 d. nutarimu Nr. XIV-490 „Dėl Naci</w:t>
            </w:r>
            <w:r>
              <w:t>onalinės klimato kaitos valdymo darbotvarkės patvirtinimo“.</w:t>
            </w:r>
          </w:p>
          <w:p w:rsidR="00C95D21" w:rsidRDefault="00651846">
            <w:pPr>
              <w:jc w:val="both"/>
              <w:rPr>
                <w:szCs w:val="24"/>
              </w:rPr>
            </w:pPr>
            <w:r>
              <w:rPr>
                <w:szCs w:val="24"/>
              </w:rPr>
              <w:t>1.10. Lietuvos Respublikos visuomenės informavimo įstatymas.</w:t>
            </w:r>
          </w:p>
          <w:p w:rsidR="00C95D21" w:rsidRDefault="00651846">
            <w:pPr>
              <w:jc w:val="both"/>
              <w:rPr>
                <w:i/>
                <w:iCs/>
                <w:sz w:val="22"/>
                <w:szCs w:val="22"/>
              </w:rPr>
            </w:pPr>
            <w:r>
              <w:rPr>
                <w:szCs w:val="24"/>
              </w:rPr>
              <w:t>1.11. Lietuvos Respublikos krizių valdymo ir civilinės saugos įstatymas.</w:t>
            </w:r>
          </w:p>
        </w:tc>
      </w:tr>
      <w:tr w:rsidR="00C95D21">
        <w:tc>
          <w:tcPr>
            <w:tcW w:w="15134" w:type="dxa"/>
          </w:tcPr>
          <w:p w:rsidR="00C95D21" w:rsidRDefault="00651846">
            <w:pPr>
              <w:rPr>
                <w:b/>
                <w:szCs w:val="24"/>
              </w:rPr>
            </w:pPr>
            <w:r>
              <w:rPr>
                <w:b/>
                <w:szCs w:val="24"/>
              </w:rPr>
              <w:lastRenderedPageBreak/>
              <w:t>2. Reikalavimai projektams, pareiškėjams ir partneriams</w:t>
            </w:r>
          </w:p>
        </w:tc>
      </w:tr>
      <w:tr w:rsidR="00C95D21">
        <w:tc>
          <w:tcPr>
            <w:tcW w:w="15134" w:type="dxa"/>
          </w:tcPr>
          <w:p w:rsidR="00C95D21" w:rsidRDefault="00651846">
            <w:pPr>
              <w:jc w:val="both"/>
              <w:rPr>
                <w:szCs w:val="24"/>
              </w:rPr>
            </w:pPr>
            <w:r>
              <w:rPr>
                <w:szCs w:val="24"/>
              </w:rPr>
              <w:t>2.1.</w:t>
            </w:r>
            <w:r>
              <w:rPr>
                <w:szCs w:val="24"/>
              </w:rPr>
              <w:t xml:space="preserve"> Remiama veikla:</w:t>
            </w:r>
            <w:r>
              <w:t xml:space="preserve"> gyventojų perspėjimo ir informavimo infrastruktūros plėtra, įsigyjant ir įrengiant </w:t>
            </w:r>
            <w:r>
              <w:rPr>
                <w:szCs w:val="24"/>
              </w:rPr>
              <w:t>naujas centralizuoto valdymo sirenas.</w:t>
            </w:r>
          </w:p>
          <w:p w:rsidR="00C95D21" w:rsidRDefault="00651846">
            <w:pPr>
              <w:jc w:val="both"/>
              <w:rPr>
                <w:szCs w:val="24"/>
              </w:rPr>
            </w:pPr>
            <w:r>
              <w:rPr>
                <w:szCs w:val="24"/>
              </w:rPr>
              <w:t>2.2. Galimas pareiškėjas yra Priešgaisrinės apsaugos ir gelbėjimo departamentas prie Vidaus reikalų ministerijos. Proj</w:t>
            </w:r>
            <w:r>
              <w:rPr>
                <w:szCs w:val="24"/>
              </w:rPr>
              <w:t>ektas įgyvendinamas be partnerių.</w:t>
            </w:r>
          </w:p>
          <w:p w:rsidR="00C95D21" w:rsidRDefault="00651846">
            <w:pPr>
              <w:jc w:val="both"/>
              <w:rPr>
                <w:szCs w:val="24"/>
              </w:rPr>
            </w:pPr>
            <w:r>
              <w:rPr>
                <w:szCs w:val="24"/>
              </w:rPr>
              <w:t>2.3. Projekto įgyvendinimo regionas – Vidurio ir vakarų Lietuvos regionas.</w:t>
            </w:r>
          </w:p>
          <w:p w:rsidR="00C95D21" w:rsidRDefault="00651846">
            <w:pPr>
              <w:jc w:val="both"/>
            </w:pPr>
            <w:r>
              <w:rPr>
                <w:szCs w:val="24"/>
              </w:rPr>
              <w:t>2.4. Projekto veiklos turi būti įgyvendintos iki 2029 m. rugpjūčio 31 d.</w:t>
            </w:r>
          </w:p>
          <w:p w:rsidR="00C95D21" w:rsidRDefault="00651846">
            <w:pPr>
              <w:jc w:val="both"/>
              <w:rPr>
                <w:szCs w:val="24"/>
              </w:rPr>
            </w:pPr>
            <w:r>
              <w:rPr>
                <w:szCs w:val="24"/>
              </w:rPr>
              <w:t>2.5. Projekto veikloms įgyvendinti numatyta skirti iki 5 500 000 (penkių m</w:t>
            </w:r>
            <w:r>
              <w:rPr>
                <w:szCs w:val="24"/>
              </w:rPr>
              <w:t>ilijonų penkių šimtų tūkstančių) eurų 2021–2027 m. Europos Sąjungos struktūrinių fondų (Europos regioninės plėtros fondo) lėšų.</w:t>
            </w:r>
          </w:p>
          <w:p w:rsidR="00C95D21" w:rsidRDefault="00651846">
            <w:pPr>
              <w:jc w:val="both"/>
            </w:pPr>
            <w:r>
              <w:t>2.6. Didžiausia galima projekto veiklos finansuojamoji dalis sudaro 100 proc. visų tinkamų finansuoti projekto išlaidų. Pareiškė</w:t>
            </w:r>
            <w:r>
              <w:t xml:space="preserve">jas savo iniciatyva ir savo ir (arba) kitų šaltinių lėšomis gali prisidėti prie projekto įgyvendinimo. </w:t>
            </w:r>
          </w:p>
          <w:p w:rsidR="00C95D21" w:rsidRDefault="00651846">
            <w:pPr>
              <w:jc w:val="both"/>
              <w:rPr>
                <w:szCs w:val="24"/>
              </w:rPr>
            </w:pPr>
            <w:r>
              <w:rPr>
                <w:szCs w:val="24"/>
              </w:rPr>
              <w:t>2.7. Projekto tinkamų finansuoti išlaidų dalis, kurios nepadengia projektui skiriamo finansavimo lėšos, turi būti finansuojama iš projekto vykdytojo lėš</w:t>
            </w:r>
            <w:r>
              <w:rPr>
                <w:szCs w:val="24"/>
              </w:rPr>
              <w:t>ų.</w:t>
            </w:r>
          </w:p>
          <w:p w:rsidR="00C95D21" w:rsidRDefault="00651846">
            <w:pPr>
              <w:jc w:val="both"/>
              <w:rPr>
                <w:szCs w:val="24"/>
              </w:rPr>
            </w:pPr>
            <w:r>
              <w:rPr>
                <w:szCs w:val="24"/>
              </w:rPr>
              <w:t>2.8. Visi stebėsenos rodikliai turi būti pasiekti projekto įgyvendinimo metu.</w:t>
            </w:r>
          </w:p>
          <w:p w:rsidR="00C95D21" w:rsidRDefault="00651846">
            <w:pPr>
              <w:jc w:val="both"/>
              <w:rPr>
                <w:szCs w:val="24"/>
              </w:rPr>
            </w:pPr>
            <w:r>
              <w:rPr>
                <w:szCs w:val="24"/>
              </w:rPr>
              <w:t>2.9. Kartu su projekto įgyvendinimo planu administruojančiajai institucijai turi būti pateikti:</w:t>
            </w:r>
          </w:p>
          <w:p w:rsidR="00C95D21" w:rsidRDefault="00651846">
            <w:pPr>
              <w:jc w:val="both"/>
            </w:pPr>
            <w:r>
              <w:t>2.9.1 investicijų projektas, pateikiamas kartu su investicijų skaičiuokle. Inve</w:t>
            </w:r>
            <w:r>
              <w:t>sticijų projektas turi būti parengtas pagal Investicijų projektų, kuriems siekiama gauti finansavimą iš Europos Sąjungos struktūrinės paramos ir (ar) valstybės biudžeto lėšų, rengimo metodiką, patvirtintą viešosios įstaigos Centrinės projektų valdymo agent</w:t>
            </w:r>
            <w:r>
              <w:t xml:space="preserve">ūros direktoriaus 2014 m. gruodžio 31 d. įsakymu Nr. 2014/8-337 (2023 m. sausio 6 d. įsakymo Nr. 2023/8-4 redakcija), kuri skelbiama interneto svetainėje </w:t>
            </w:r>
            <w:r>
              <w:rPr>
                <w:color w:val="0563C1"/>
                <w:u w:val="single"/>
              </w:rPr>
              <w:t>https://www.cpva.lt/pletros-programu-portfelio-metodines-pagalbos-centras/dokumentai/dokumentai/796/ac</w:t>
            </w:r>
            <w:r>
              <w:rPr>
                <w:color w:val="0563C1"/>
                <w:u w:val="single"/>
              </w:rPr>
              <w:t>t883?sqid=829b3670a8452304456736b16855dcdda444bdcb</w:t>
            </w:r>
            <w:r>
              <w:t xml:space="preserve">; </w:t>
            </w:r>
          </w:p>
          <w:p w:rsidR="00C95D21" w:rsidRDefault="00651846">
            <w:pPr>
              <w:jc w:val="both"/>
            </w:pPr>
            <w:r>
              <w:t>2.9.2. dokumentai ir informacija, įrodantys projekto išlaidų pagrįstumą (pvz., sudarytų sutarčių kopijos, komerciniai pasiūlymai, nuorodos į rinkoje esančias kainas (pvz., Centrinėje viešųjų pirkimų info</w:t>
            </w:r>
            <w:r>
              <w:t>rmacinėje sistemoje);</w:t>
            </w:r>
          </w:p>
          <w:p w:rsidR="00C95D21" w:rsidRDefault="00651846">
            <w:pPr>
              <w:jc w:val="both"/>
            </w:pPr>
            <w:r>
              <w:t xml:space="preserve">2.9.3. Pareiškėjo (partnerio) įsipareigojimo dėl elektros ir elektroninės įrangos, baigusios gyvavimo ciklą, perdavimo sutvarkymui deklaracija (Aprašo 2 priedas), patvirtinanti, kad projekto metu perkama įranga, baigusi savo gyvavimo </w:t>
            </w:r>
            <w:r>
              <w:t>ciklą, bus sutvarkoma vadovaujantis Europos Parlamento ir Tarybos direktyvos 2012/19/ES nuostatomis.</w:t>
            </w:r>
          </w:p>
          <w:p w:rsidR="00C95D21" w:rsidRDefault="00651846">
            <w:pPr>
              <w:jc w:val="both"/>
              <w:rPr>
                <w:szCs w:val="24"/>
              </w:rPr>
            </w:pPr>
            <w:r>
              <w:rPr>
                <w:szCs w:val="24"/>
              </w:rPr>
              <w:t>2.10. Projektų pirkimai turi būti atliekami taikant žaliųjų pirkimų reikalavimus, nustatytus Lietuvos Respublikos Vyriausybės 2010 m. liepos 21 d. nutarimu</w:t>
            </w:r>
          </w:p>
          <w:p w:rsidR="00C95D21" w:rsidRDefault="00651846">
            <w:pPr>
              <w:jc w:val="both"/>
              <w:rPr>
                <w:szCs w:val="24"/>
              </w:rPr>
            </w:pPr>
            <w:r>
              <w:rPr>
                <w:szCs w:val="24"/>
              </w:rPr>
              <w:t>Nr. 1133 „Dėl Žaliųjų pirkimų tikslų nustatymo ir įgyvendinimo“ ir nurodytus Projektų administravimo ir finansavimo taisyklių 7 priede.</w:t>
            </w:r>
          </w:p>
          <w:p w:rsidR="00C95D21" w:rsidRDefault="00651846">
            <w:pPr>
              <w:jc w:val="both"/>
              <w:rPr>
                <w:szCs w:val="24"/>
              </w:rPr>
            </w:pPr>
            <w:r>
              <w:rPr>
                <w:szCs w:val="24"/>
              </w:rPr>
              <w:t xml:space="preserve">2.11. Reikalavimai dėl projekto </w:t>
            </w:r>
            <w:proofErr w:type="spellStart"/>
            <w:r>
              <w:rPr>
                <w:szCs w:val="24"/>
              </w:rPr>
              <w:t>parengtumo</w:t>
            </w:r>
            <w:proofErr w:type="spellEnd"/>
            <w:r>
              <w:rPr>
                <w:szCs w:val="24"/>
              </w:rPr>
              <w:t xml:space="preserve"> nėra taikomi.</w:t>
            </w:r>
          </w:p>
          <w:p w:rsidR="00C95D21" w:rsidRDefault="00651846">
            <w:pPr>
              <w:jc w:val="both"/>
              <w:rPr>
                <w:szCs w:val="24"/>
              </w:rPr>
            </w:pPr>
            <w:r>
              <w:rPr>
                <w:szCs w:val="24"/>
              </w:rPr>
              <w:t>2.12. Gavęs finansavimą projekto vykdytojas privalo informavim</w:t>
            </w:r>
            <w:r>
              <w:rPr>
                <w:szCs w:val="24"/>
              </w:rPr>
              <w:t xml:space="preserve">o apie projektą ir komunikacijos veiklas atlikti Projektų administravimo ir finansavimo taisyklių VIII skyriaus pirmajame skirsnyje nustatyta tvarka. </w:t>
            </w:r>
          </w:p>
        </w:tc>
      </w:tr>
      <w:tr w:rsidR="00C95D21">
        <w:tc>
          <w:tcPr>
            <w:tcW w:w="15134" w:type="dxa"/>
          </w:tcPr>
          <w:p w:rsidR="00C95D21" w:rsidRDefault="00651846">
            <w:pPr>
              <w:jc w:val="both"/>
              <w:rPr>
                <w:iCs/>
                <w:szCs w:val="24"/>
              </w:rPr>
            </w:pPr>
            <w:r>
              <w:rPr>
                <w:b/>
                <w:szCs w:val="24"/>
              </w:rPr>
              <w:t>3.</w:t>
            </w:r>
            <w:r>
              <w:rPr>
                <w:szCs w:val="24"/>
              </w:rPr>
              <w:t xml:space="preserve"> </w:t>
            </w:r>
            <w:r>
              <w:rPr>
                <w:b/>
                <w:szCs w:val="24"/>
              </w:rPr>
              <w:t>Reikalavimai jungtinio projekto projektams ir jungtinio projekto projektų pareiškėjams</w:t>
            </w:r>
          </w:p>
        </w:tc>
      </w:tr>
      <w:tr w:rsidR="00C95D21">
        <w:trPr>
          <w:trHeight w:val="391"/>
        </w:trPr>
        <w:tc>
          <w:tcPr>
            <w:tcW w:w="15134" w:type="dxa"/>
          </w:tcPr>
          <w:p w:rsidR="00C95D21" w:rsidRDefault="00651846">
            <w:pPr>
              <w:ind w:left="357" w:hanging="357"/>
              <w:jc w:val="both"/>
              <w:rPr>
                <w:sz w:val="22"/>
                <w:szCs w:val="22"/>
              </w:rPr>
            </w:pPr>
            <w:r>
              <w:rPr>
                <w:szCs w:val="24"/>
              </w:rPr>
              <w:t>Netaikoma.</w:t>
            </w:r>
          </w:p>
        </w:tc>
      </w:tr>
      <w:tr w:rsidR="00C95D21">
        <w:trPr>
          <w:trHeight w:val="285"/>
        </w:trPr>
        <w:tc>
          <w:tcPr>
            <w:tcW w:w="15134" w:type="dxa"/>
          </w:tcPr>
          <w:p w:rsidR="00C95D21" w:rsidRDefault="00651846">
            <w:pPr>
              <w:rPr>
                <w:b/>
                <w:szCs w:val="24"/>
              </w:rPr>
            </w:pPr>
            <w:r>
              <w:rPr>
                <w:b/>
                <w:szCs w:val="24"/>
              </w:rPr>
              <w:t>4. Projekto tikslinės grupės</w:t>
            </w:r>
          </w:p>
        </w:tc>
      </w:tr>
      <w:tr w:rsidR="00C95D21">
        <w:trPr>
          <w:trHeight w:val="285"/>
        </w:trPr>
        <w:tc>
          <w:tcPr>
            <w:tcW w:w="15134" w:type="dxa"/>
          </w:tcPr>
          <w:p w:rsidR="00C95D21" w:rsidRDefault="00651846">
            <w:pPr>
              <w:jc w:val="both"/>
              <w:rPr>
                <w:iCs/>
                <w:sz w:val="22"/>
                <w:szCs w:val="22"/>
              </w:rPr>
            </w:pPr>
            <w:r>
              <w:rPr>
                <w:iCs/>
                <w:szCs w:val="24"/>
              </w:rPr>
              <w:t>Vidurio ir vakarų Lietuvos regiono 43 savivaldybių gyventojai. Kitos tikslinės grupės: valstybės ir savivaldybių institucijos ir įstaigos, veiklos vykdytojai, ūkio subjektai ir kitos įstaigos.</w:t>
            </w:r>
          </w:p>
        </w:tc>
      </w:tr>
      <w:tr w:rsidR="00C95D21">
        <w:trPr>
          <w:trHeight w:val="285"/>
        </w:trPr>
        <w:tc>
          <w:tcPr>
            <w:tcW w:w="15134" w:type="dxa"/>
          </w:tcPr>
          <w:p w:rsidR="00C95D21" w:rsidRDefault="00651846">
            <w:pPr>
              <w:rPr>
                <w:sz w:val="22"/>
                <w:szCs w:val="22"/>
              </w:rPr>
            </w:pPr>
            <w:r>
              <w:rPr>
                <w:b/>
                <w:szCs w:val="24"/>
              </w:rPr>
              <w:t>5</w:t>
            </w:r>
            <w:r>
              <w:rPr>
                <w:szCs w:val="24"/>
              </w:rPr>
              <w:t xml:space="preserve">. </w:t>
            </w:r>
            <w:r>
              <w:rPr>
                <w:b/>
                <w:szCs w:val="24"/>
              </w:rPr>
              <w:t xml:space="preserve">Horizontaliųjų principų </w:t>
            </w:r>
            <w:r>
              <w:rPr>
                <w:b/>
                <w:szCs w:val="24"/>
              </w:rPr>
              <w:t>(toliau – HP) reikalavimai</w:t>
            </w:r>
          </w:p>
        </w:tc>
      </w:tr>
      <w:tr w:rsidR="00C95D21">
        <w:tc>
          <w:tcPr>
            <w:tcW w:w="15134" w:type="dxa"/>
          </w:tcPr>
          <w:p w:rsidR="00C95D21" w:rsidRDefault="00651846">
            <w:pPr>
              <w:jc w:val="both"/>
              <w:rPr>
                <w:szCs w:val="24"/>
              </w:rPr>
            </w:pPr>
            <w:r>
              <w:rPr>
                <w:szCs w:val="24"/>
              </w:rPr>
              <w:t>5.1. Neutralus – projektas negali daryti neigiamo poveikio horizontaliesiems principams, nustatytiems Projektų administravimo ir finansavimo taisyklių VIII skyriaus antrajame skirsnyje.</w:t>
            </w:r>
          </w:p>
          <w:p w:rsidR="00C95D21" w:rsidRDefault="00651846">
            <w:pPr>
              <w:jc w:val="both"/>
              <w:rPr>
                <w:szCs w:val="24"/>
              </w:rPr>
            </w:pPr>
            <w:r>
              <w:rPr>
                <w:szCs w:val="24"/>
              </w:rPr>
              <w:t>5.2. Projekto atitikties reikšmingos žalos</w:t>
            </w:r>
            <w:r>
              <w:rPr>
                <w:szCs w:val="24"/>
              </w:rPr>
              <w:t xml:space="preserve"> nedarymo horizontaliajam principui vertinimo reikalavimai pateikiami Aprašo 1 priede.</w:t>
            </w:r>
          </w:p>
        </w:tc>
      </w:tr>
      <w:tr w:rsidR="00C95D21">
        <w:tc>
          <w:tcPr>
            <w:tcW w:w="15134" w:type="dxa"/>
          </w:tcPr>
          <w:p w:rsidR="00C95D21" w:rsidRDefault="00651846">
            <w:pPr>
              <w:spacing w:line="259" w:lineRule="auto"/>
              <w:jc w:val="both"/>
              <w:rPr>
                <w:b/>
                <w:iCs/>
                <w:szCs w:val="24"/>
              </w:rPr>
            </w:pPr>
            <w:r>
              <w:rPr>
                <w:b/>
                <w:iCs/>
                <w:szCs w:val="24"/>
              </w:rPr>
              <w:t>6. Europos Sąjungos pagrindinių teisių chartijos (toliau – Chartija) reikalavimai</w:t>
            </w:r>
          </w:p>
        </w:tc>
      </w:tr>
      <w:tr w:rsidR="00C95D21">
        <w:tc>
          <w:tcPr>
            <w:tcW w:w="15134" w:type="dxa"/>
          </w:tcPr>
          <w:p w:rsidR="00C95D21" w:rsidRDefault="00651846">
            <w:pPr>
              <w:jc w:val="both"/>
              <w:rPr>
                <w:iCs/>
                <w:szCs w:val="24"/>
              </w:rPr>
            </w:pPr>
            <w:r>
              <w:rPr>
                <w:iCs/>
                <w:szCs w:val="24"/>
              </w:rPr>
              <w:t>Pagal Aprašą numatyta veikla nepažeidžia Chartijos pagrindinių teisių: orumo; asmenų,</w:t>
            </w:r>
            <w:r>
              <w:rPr>
                <w:iCs/>
                <w:szCs w:val="24"/>
              </w:rPr>
              <w:t xml:space="preserve"> privataus ir šeimos gyvenimo, sąžinės ir saviraiškos laisvės; asmens duomenų; prieglobsčio ir apsaugos perkėlimo, išsiuntimo ar išdavimo atvejų; teisių į nuosavybę ir teisių užsiimti verslu; lyčių lygybės, vienodo požiūrio ir lygių galimybių, nediskrimina</w:t>
            </w:r>
            <w:r>
              <w:rPr>
                <w:iCs/>
                <w:szCs w:val="24"/>
              </w:rPr>
              <w:t xml:space="preserve">vimo ir neįgaliųjų teisių; vaiko teisių; gero administravimo, veiksmingo teisinės gynybos, teisingumo; solidarumo ir darbuotojų teisių; aplinkos apsaugos. </w:t>
            </w:r>
          </w:p>
        </w:tc>
      </w:tr>
      <w:tr w:rsidR="00C95D21">
        <w:tc>
          <w:tcPr>
            <w:tcW w:w="15134" w:type="dxa"/>
          </w:tcPr>
          <w:p w:rsidR="00C95D21" w:rsidRDefault="00651846">
            <w:pPr>
              <w:rPr>
                <w:b/>
                <w:szCs w:val="24"/>
              </w:rPr>
            </w:pPr>
            <w:r>
              <w:rPr>
                <w:b/>
                <w:szCs w:val="24"/>
              </w:rPr>
              <w:t>7. Apskritis, kurioje gali būti įgyvendinami projektai</w:t>
            </w:r>
          </w:p>
        </w:tc>
      </w:tr>
      <w:tr w:rsidR="00C95D21">
        <w:tc>
          <w:tcPr>
            <w:tcW w:w="15134" w:type="dxa"/>
          </w:tcPr>
          <w:p w:rsidR="00C95D21" w:rsidRDefault="00651846">
            <w:pPr>
              <w:jc w:val="both"/>
              <w:rPr>
                <w:sz w:val="22"/>
                <w:szCs w:val="22"/>
              </w:rPr>
            </w:pPr>
            <w:r>
              <w:rPr>
                <w:szCs w:val="24"/>
              </w:rPr>
              <w:t>Netaikoma.</w:t>
            </w:r>
          </w:p>
        </w:tc>
      </w:tr>
      <w:tr w:rsidR="00C95D21">
        <w:tc>
          <w:tcPr>
            <w:tcW w:w="15134" w:type="dxa"/>
          </w:tcPr>
          <w:p w:rsidR="00C95D21" w:rsidRDefault="00651846">
            <w:pPr>
              <w:jc w:val="both"/>
              <w:rPr>
                <w:szCs w:val="24"/>
              </w:rPr>
            </w:pPr>
            <w:r>
              <w:rPr>
                <w:b/>
                <w:szCs w:val="24"/>
              </w:rPr>
              <w:t>8.</w:t>
            </w:r>
            <w:r>
              <w:rPr>
                <w:szCs w:val="24"/>
              </w:rPr>
              <w:t xml:space="preserve"> </w:t>
            </w:r>
            <w:r>
              <w:rPr>
                <w:b/>
                <w:szCs w:val="24"/>
              </w:rPr>
              <w:t xml:space="preserve">Reikalavimai valstybės </w:t>
            </w:r>
            <w:r>
              <w:rPr>
                <w:b/>
                <w:szCs w:val="24"/>
              </w:rPr>
              <w:t>pagalbai (kurie nėra nurodyti kituose Aprašo punktuose)</w:t>
            </w:r>
          </w:p>
        </w:tc>
      </w:tr>
      <w:tr w:rsidR="00C95D21">
        <w:tc>
          <w:tcPr>
            <w:tcW w:w="15134" w:type="dxa"/>
          </w:tcPr>
          <w:p w:rsidR="00C95D21" w:rsidRDefault="00651846">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w:t>
            </w:r>
            <w:r>
              <w:rPr>
                <w:szCs w:val="24"/>
              </w:rPr>
              <w:t xml:space="preserve">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w:t>
            </w:r>
          </w:p>
        </w:tc>
      </w:tr>
      <w:tr w:rsidR="00C95D21">
        <w:tc>
          <w:tcPr>
            <w:tcW w:w="15134" w:type="dxa"/>
          </w:tcPr>
          <w:p w:rsidR="00C95D21" w:rsidRDefault="00651846">
            <w:pPr>
              <w:ind w:left="426" w:hanging="426"/>
              <w:jc w:val="both"/>
              <w:rPr>
                <w:szCs w:val="24"/>
              </w:rPr>
            </w:pPr>
            <w:r>
              <w:rPr>
                <w:b/>
                <w:szCs w:val="24"/>
              </w:rPr>
              <w:t>9.</w:t>
            </w:r>
            <w:r>
              <w:rPr>
                <w:szCs w:val="24"/>
              </w:rPr>
              <w:t xml:space="preserve"> </w:t>
            </w:r>
            <w:r>
              <w:rPr>
                <w:b/>
                <w:szCs w:val="24"/>
              </w:rPr>
              <w:t>Projektų atrankos kriterijai</w:t>
            </w:r>
          </w:p>
          <w:p w:rsidR="00C95D21" w:rsidRDefault="00651846">
            <w:pPr>
              <w:jc w:val="both"/>
              <w:rPr>
                <w:iCs/>
                <w:szCs w:val="24"/>
              </w:rPr>
            </w:pPr>
            <w:r>
              <w:rPr>
                <w:szCs w:val="24"/>
              </w:rPr>
              <w:t>Projektas turi atitikti bendruosius projektų atrankos kriterijus, nustatytus Projektų administravimo</w:t>
            </w:r>
            <w:r>
              <w:rPr>
                <w:szCs w:val="24"/>
              </w:rPr>
              <w:t xml:space="preserve"> ir finansavimo taisyklių 2 priede.</w:t>
            </w:r>
          </w:p>
          <w:p w:rsidR="00C95D21" w:rsidRDefault="00651846">
            <w:pPr>
              <w:jc w:val="both"/>
              <w:rPr>
                <w:iCs/>
                <w:szCs w:val="24"/>
              </w:rPr>
            </w:pPr>
            <w:r>
              <w:rPr>
                <w:iCs/>
                <w:szCs w:val="24"/>
              </w:rPr>
              <w:t>Projekto atranka vykdoma planavimo būdu, todėl specialieji ir prioritetiniai projektų atrankos kriterijai nėra nustatomi.</w:t>
            </w:r>
          </w:p>
        </w:tc>
      </w:tr>
      <w:tr w:rsidR="00C95D21">
        <w:trPr>
          <w:trHeight w:val="309"/>
        </w:trPr>
        <w:tc>
          <w:tcPr>
            <w:tcW w:w="15134" w:type="dxa"/>
          </w:tcPr>
          <w:p w:rsidR="00C95D21" w:rsidRDefault="00651846">
            <w:pPr>
              <w:jc w:val="both"/>
              <w:rPr>
                <w:i/>
                <w:szCs w:val="22"/>
              </w:rPr>
            </w:pPr>
            <w:r>
              <w:rPr>
                <w:b/>
                <w:szCs w:val="22"/>
              </w:rPr>
              <w:t>10.</w:t>
            </w:r>
            <w:r>
              <w:rPr>
                <w:szCs w:val="22"/>
              </w:rPr>
              <w:t xml:space="preserve"> </w:t>
            </w:r>
            <w:r>
              <w:rPr>
                <w:b/>
                <w:szCs w:val="22"/>
              </w:rPr>
              <w:t xml:space="preserve">Jungtinio projekto projektų atrankos kriterijai </w:t>
            </w:r>
            <w:r>
              <w:rPr>
                <w:b/>
                <w:i/>
                <w:iCs/>
                <w:szCs w:val="22"/>
              </w:rPr>
              <w:t>(</w:t>
            </w:r>
            <w:r>
              <w:rPr>
                <w:b/>
                <w:i/>
                <w:szCs w:val="22"/>
              </w:rPr>
              <w:t>pildoma tik jungtiniam projektui)</w:t>
            </w:r>
          </w:p>
          <w:p w:rsidR="00C95D21" w:rsidRDefault="00651846">
            <w:pPr>
              <w:jc w:val="both"/>
              <w:rPr>
                <w:i/>
                <w:sz w:val="22"/>
                <w:szCs w:val="22"/>
              </w:rPr>
            </w:pPr>
            <w:r>
              <w:t>Netaikoma.</w:t>
            </w:r>
          </w:p>
        </w:tc>
      </w:tr>
      <w:tr w:rsidR="00C95D21">
        <w:tc>
          <w:tcPr>
            <w:tcW w:w="15134" w:type="dxa"/>
          </w:tcPr>
          <w:p w:rsidR="00C95D21" w:rsidRDefault="00651846">
            <w:pPr>
              <w:rPr>
                <w:szCs w:val="24"/>
              </w:rPr>
            </w:pPr>
            <w:r>
              <w:rPr>
                <w:b/>
                <w:szCs w:val="24"/>
              </w:rPr>
              <w:t>11.</w:t>
            </w:r>
            <w:r>
              <w:rPr>
                <w:szCs w:val="24"/>
              </w:rPr>
              <w:t xml:space="preserve"> </w:t>
            </w:r>
            <w:r>
              <w:rPr>
                <w:b/>
                <w:szCs w:val="24"/>
              </w:rPr>
              <w:t>Reikalavimai įgyvendinus projektų veiklas</w:t>
            </w:r>
          </w:p>
        </w:tc>
      </w:tr>
      <w:tr w:rsidR="00C95D21">
        <w:tc>
          <w:tcPr>
            <w:tcW w:w="15134" w:type="dxa"/>
          </w:tcPr>
          <w:p w:rsidR="00C95D21" w:rsidRDefault="00651846">
            <w:pPr>
              <w:jc w:val="both"/>
              <w:rPr>
                <w:iCs/>
                <w:szCs w:val="24"/>
              </w:rPr>
            </w:pPr>
            <w:r>
              <w:rPr>
                <w:iCs/>
                <w:szCs w:val="24"/>
              </w:rPr>
              <w:t>Įgyvendinus projektų veiklas, papildomi reikalavimai, nei numatyta Administravimo taisyklėse ir Projektų administravimo ir finansavimo taisyklėse, netaikomi.</w:t>
            </w:r>
          </w:p>
        </w:tc>
      </w:tr>
      <w:tr w:rsidR="00C95D21">
        <w:tc>
          <w:tcPr>
            <w:tcW w:w="15134" w:type="dxa"/>
          </w:tcPr>
          <w:p w:rsidR="00C95D21" w:rsidRDefault="00651846">
            <w:pPr>
              <w:rPr>
                <w:szCs w:val="24"/>
              </w:rPr>
            </w:pPr>
            <w:r>
              <w:rPr>
                <w:b/>
                <w:szCs w:val="24"/>
              </w:rPr>
              <w:t>12.</w:t>
            </w:r>
            <w:r>
              <w:rPr>
                <w:szCs w:val="24"/>
              </w:rPr>
              <w:t xml:space="preserve"> </w:t>
            </w:r>
            <w:r>
              <w:rPr>
                <w:b/>
                <w:szCs w:val="24"/>
              </w:rPr>
              <w:t>Kiti reikalavimai</w:t>
            </w:r>
          </w:p>
        </w:tc>
      </w:tr>
      <w:tr w:rsidR="00C95D21">
        <w:tc>
          <w:tcPr>
            <w:tcW w:w="15134" w:type="dxa"/>
          </w:tcPr>
          <w:p w:rsidR="00C95D21" w:rsidRDefault="00651846">
            <w:pPr>
              <w:tabs>
                <w:tab w:val="left" w:pos="1134"/>
              </w:tabs>
              <w:jc w:val="both"/>
              <w:rPr>
                <w:iCs/>
                <w:sz w:val="22"/>
                <w:szCs w:val="22"/>
              </w:rPr>
            </w:pPr>
            <w:r>
              <w:rPr>
                <w:iCs/>
                <w:szCs w:val="24"/>
              </w:rPr>
              <w:t xml:space="preserve">Kiti reikalavimai </w:t>
            </w:r>
            <w:r>
              <w:rPr>
                <w:iCs/>
                <w:szCs w:val="24"/>
              </w:rPr>
              <w:t>netaikomi.</w:t>
            </w:r>
          </w:p>
        </w:tc>
      </w:tr>
      <w:tr w:rsidR="00C95D21">
        <w:tc>
          <w:tcPr>
            <w:tcW w:w="15134" w:type="dxa"/>
          </w:tcPr>
          <w:p w:rsidR="00C95D21" w:rsidRDefault="00651846">
            <w:pPr>
              <w:rPr>
                <w:b/>
                <w:szCs w:val="24"/>
              </w:rPr>
            </w:pPr>
            <w:r>
              <w:rPr>
                <w:b/>
                <w:szCs w:val="24"/>
              </w:rPr>
              <w:t>IŠLAIDŲ TINKAMUMO FINANSUOTI REIKALAVIMAI</w:t>
            </w:r>
          </w:p>
        </w:tc>
      </w:tr>
      <w:tr w:rsidR="00C95D21">
        <w:tc>
          <w:tcPr>
            <w:tcW w:w="15134" w:type="dxa"/>
          </w:tcPr>
          <w:p w:rsidR="00C95D21" w:rsidRDefault="00651846">
            <w:pPr>
              <w:jc w:val="both"/>
              <w:rPr>
                <w:b/>
                <w:szCs w:val="24"/>
              </w:rPr>
            </w:pPr>
            <w:r>
              <w:rPr>
                <w:b/>
                <w:szCs w:val="24"/>
              </w:rPr>
              <w:t>13. Išlaidų tinkamumo finansuoti reikalavimai</w:t>
            </w:r>
          </w:p>
        </w:tc>
      </w:tr>
      <w:tr w:rsidR="00C95D21">
        <w:tc>
          <w:tcPr>
            <w:tcW w:w="15134" w:type="dxa"/>
          </w:tcPr>
          <w:p w:rsidR="00C95D21" w:rsidRDefault="00651846">
            <w:pPr>
              <w:jc w:val="both"/>
            </w:pPr>
            <w:r>
              <w:t xml:space="preserve">13.1. Projektų išlaidos turi atitikti Projektų administravimo ir finansavimo taisyklių VII skyriuje projektų išlaidoms nustatytus reikalavimus. </w:t>
            </w:r>
          </w:p>
          <w:p w:rsidR="00C95D21" w:rsidRDefault="00651846">
            <w:pPr>
              <w:jc w:val="both"/>
            </w:pPr>
            <w:r>
              <w:t xml:space="preserve">13.2. Netinkamos finansuoti projekto išlaidos taip pat yra: </w:t>
            </w:r>
          </w:p>
          <w:p w:rsidR="00C95D21" w:rsidRDefault="00651846">
            <w:pPr>
              <w:jc w:val="both"/>
            </w:pPr>
            <w:r>
              <w:t xml:space="preserve">13.2.1. transporto priemonių ir kompiuterinės įrangos pirkimo, lizingo (finansinės nuomos), eksploatavimo ir susijusios išlaidos; </w:t>
            </w:r>
          </w:p>
          <w:p w:rsidR="00C95D21" w:rsidRDefault="00651846">
            <w:pPr>
              <w:jc w:val="both"/>
            </w:pPr>
            <w:r>
              <w:t xml:space="preserve">13.2.2. žemės ir nekilnojamojo turto pirkimo išlaidos; </w:t>
            </w:r>
          </w:p>
          <w:p w:rsidR="00C95D21" w:rsidRDefault="00651846">
            <w:pPr>
              <w:jc w:val="both"/>
            </w:pPr>
            <w:r>
              <w:t xml:space="preserve">13.2.3. </w:t>
            </w:r>
            <w:r>
              <w:t xml:space="preserve">įgyvendinant projektą naudojamo ilgalaikio turto nusidėvėjimo (amortizacijos) sąnaudos; </w:t>
            </w:r>
          </w:p>
          <w:p w:rsidR="00C95D21" w:rsidRDefault="00651846">
            <w:pPr>
              <w:jc w:val="both"/>
            </w:pPr>
            <w:r>
              <w:t>13.2.4. nepiniginis projekto vykdytojo įnašas (jei prie projekto prisidedama nepiniginiu įnašu – žeme, nekilnojamuoju turtu, savanorišku darbu, nematerialiuoju turtu);</w:t>
            </w:r>
          </w:p>
          <w:p w:rsidR="00C95D21" w:rsidRDefault="00651846">
            <w:pPr>
              <w:jc w:val="both"/>
            </w:pPr>
            <w:r>
              <w:t>13.2.5. projektą vykdančio personalo darbo užmokestis (DU).</w:t>
            </w:r>
          </w:p>
          <w:p w:rsidR="00C95D21" w:rsidRDefault="00651846">
            <w:pPr>
              <w:jc w:val="both"/>
            </w:pPr>
            <w:r>
              <w:rPr>
                <w:szCs w:val="24"/>
              </w:rPr>
              <w:t>13</w:t>
            </w:r>
            <w:r>
              <w:t>.3. Projektui gali būti mokamas avansas vadovaujantis Projektų administravimo ir finansavimo taisyklių IV skyriaus nuostatomis.</w:t>
            </w:r>
          </w:p>
          <w:p w:rsidR="00C95D21" w:rsidRDefault="00651846">
            <w:pPr>
              <w:jc w:val="both"/>
              <w:rPr>
                <w:szCs w:val="24"/>
              </w:rPr>
            </w:pPr>
            <w:r>
              <w:rPr>
                <w:szCs w:val="24"/>
              </w:rPr>
              <w:t>13.4. Kryžminis finansavimas netaikomas.</w:t>
            </w:r>
          </w:p>
        </w:tc>
      </w:tr>
      <w:tr w:rsidR="00C95D21">
        <w:trPr>
          <w:trHeight w:val="349"/>
        </w:trPr>
        <w:tc>
          <w:tcPr>
            <w:tcW w:w="15134" w:type="dxa"/>
          </w:tcPr>
          <w:p w:rsidR="00C95D21" w:rsidRDefault="00651846">
            <w:pPr>
              <w:jc w:val="both"/>
              <w:rPr>
                <w:szCs w:val="24"/>
              </w:rPr>
            </w:pPr>
            <w:r>
              <w:rPr>
                <w:b/>
                <w:szCs w:val="24"/>
              </w:rPr>
              <w:t>14.</w:t>
            </w:r>
            <w:r>
              <w:rPr>
                <w:szCs w:val="24"/>
              </w:rPr>
              <w:t xml:space="preserve"> </w:t>
            </w:r>
            <w:r>
              <w:rPr>
                <w:b/>
                <w:szCs w:val="24"/>
              </w:rPr>
              <w:t xml:space="preserve">Projektų veiklų ir </w:t>
            </w:r>
            <w:r>
              <w:rPr>
                <w:b/>
                <w:szCs w:val="24"/>
              </w:rPr>
              <w:t>jungtinio projekto projektų įgyvendinimui taikomi supaprastintai apmokamų išlaidų dydžiai</w:t>
            </w:r>
          </w:p>
        </w:tc>
      </w:tr>
      <w:tr w:rsidR="00C95D21">
        <w:tc>
          <w:tcPr>
            <w:tcW w:w="15134" w:type="dxa"/>
          </w:tcPr>
          <w:p w:rsidR="00C95D21" w:rsidRDefault="00C95D21">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C95D21">
              <w:tc>
                <w:tcPr>
                  <w:tcW w:w="14874" w:type="dxa"/>
                  <w:gridSpan w:val="5"/>
                  <w:tcBorders>
                    <w:top w:val="single" w:sz="8" w:space="0" w:color="auto"/>
                    <w:left w:val="single" w:sz="8" w:space="0" w:color="auto"/>
                    <w:bottom w:val="single" w:sz="8" w:space="0" w:color="auto"/>
                    <w:right w:val="single" w:sz="8" w:space="0" w:color="auto"/>
                  </w:tcBorders>
                </w:tcPr>
                <w:p w:rsidR="00C95D21" w:rsidRDefault="00651846">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rsidR="00C95D21" w:rsidRDefault="00651846">
                  <w:pPr>
                    <w:jc w:val="both"/>
                    <w:rPr>
                      <w:bCs/>
                      <w:sz w:val="22"/>
                      <w:szCs w:val="22"/>
                    </w:rPr>
                  </w:pPr>
                  <w:r>
                    <w:rPr>
                      <w:rFonts w:ascii="MS Gothic" w:eastAsia="MS Gothic" w:hAnsi="MS Gothic" w:cs="MS Gothic"/>
                      <w:b/>
                      <w:bCs/>
                      <w:sz w:val="22"/>
                      <w:szCs w:val="22"/>
                    </w:rPr>
                    <w:sym w:font="Wingdings 2" w:char="F0D0"/>
                  </w:r>
                  <w:r>
                    <w:rPr>
                      <w:b/>
                      <w:bCs/>
                      <w:sz w:val="22"/>
                      <w:szCs w:val="22"/>
                    </w:rPr>
                    <w:t xml:space="preserve"> Neindeksuojama</w:t>
                  </w:r>
                </w:p>
              </w:tc>
            </w:tr>
            <w:tr w:rsidR="00C95D21">
              <w:tc>
                <w:tcPr>
                  <w:tcW w:w="2974" w:type="dxa"/>
                  <w:tcBorders>
                    <w:top w:val="single" w:sz="8" w:space="0" w:color="auto"/>
                    <w:left w:val="single" w:sz="8" w:space="0" w:color="auto"/>
                    <w:bottom w:val="single" w:sz="8" w:space="0" w:color="auto"/>
                    <w:right w:val="single" w:sz="8" w:space="0" w:color="auto"/>
                  </w:tcBorders>
                </w:tcPr>
                <w:p w:rsidR="00C95D21" w:rsidRDefault="00651846">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b/>
                      <w:bCs/>
                      <w:sz w:val="22"/>
                      <w:szCs w:val="22"/>
                    </w:rPr>
                  </w:pPr>
                  <w:r>
                    <w:rPr>
                      <w:b/>
                      <w:bCs/>
                      <w:sz w:val="22"/>
                      <w:szCs w:val="22"/>
                    </w:rPr>
                    <w:t>Papildoma informacija</w:t>
                  </w:r>
                </w:p>
              </w:tc>
            </w:tr>
            <w:tr w:rsidR="00C95D21">
              <w:tc>
                <w:tcPr>
                  <w:tcW w:w="2974" w:type="dxa"/>
                  <w:tcBorders>
                    <w:top w:val="single" w:sz="8" w:space="0" w:color="auto"/>
                    <w:left w:val="single" w:sz="8" w:space="0" w:color="auto"/>
                    <w:bottom w:val="single" w:sz="8" w:space="0" w:color="auto"/>
                    <w:right w:val="single" w:sz="8" w:space="0" w:color="auto"/>
                  </w:tcBorders>
                </w:tcPr>
                <w:p w:rsidR="00C95D21" w:rsidRDefault="00651846">
                  <w:pPr>
                    <w:jc w:val="center"/>
                    <w:rPr>
                      <w:i/>
                      <w:iCs/>
                      <w:sz w:val="20"/>
                    </w:rPr>
                  </w:pPr>
                  <w:r>
                    <w:rPr>
                      <w:szCs w:val="24"/>
                      <w:lang w:eastAsia="lt-LT"/>
                    </w:rPr>
                    <w:t xml:space="preserve">14.1. </w:t>
                  </w:r>
                  <w:r>
                    <w:rPr>
                      <w:szCs w:val="24"/>
                    </w:rPr>
                    <w:t xml:space="preserve">Netiesioginės projekto išlaidos </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i/>
                      <w:iCs/>
                      <w:sz w:val="20"/>
                    </w:rPr>
                  </w:pPr>
                  <w:r>
                    <w:t xml:space="preserve">Iki </w:t>
                  </w:r>
                  <w:r>
                    <w:rPr>
                      <w:szCs w:val="24"/>
                    </w:rPr>
                    <w:t>7 proc.</w:t>
                  </w:r>
                  <w:r>
                    <w:rPr>
                      <w:szCs w:val="24"/>
                      <w:shd w:val="clear" w:color="auto" w:fill="FFFFFF"/>
                    </w:rPr>
                    <w:t xml:space="preserve">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rPr>
                  </w:pPr>
                  <w:r>
                    <w:rPr>
                      <w:color w:val="000000"/>
                      <w:szCs w:val="24"/>
                    </w:rPr>
                    <w:t>7 proc.</w:t>
                  </w:r>
                </w:p>
              </w:tc>
            </w:tr>
            <w:tr w:rsidR="00C95D21">
              <w:tc>
                <w:tcPr>
                  <w:tcW w:w="2974"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lang w:eastAsia="lt-LT"/>
                    </w:rPr>
                  </w:pPr>
                  <w:r>
                    <w:rPr>
                      <w:szCs w:val="24"/>
                    </w:rPr>
                    <w:t xml:space="preserve">14.2. Projekto matomumo ir </w:t>
                  </w:r>
                  <w:r>
                    <w:rPr>
                      <w:szCs w:val="24"/>
                    </w:rPr>
                    <w:t>informavimo apie projektą priemonėms įgyvendinti būtinos išlaidos</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rPr>
                  </w:pPr>
                  <w:r>
                    <w:rPr>
                      <w:szCs w:val="24"/>
                    </w:rPr>
                    <w:t>FS-01-03</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rPr>
                  </w:pPr>
                  <w:r>
                    <w:rPr>
                      <w:szCs w:val="24"/>
                    </w:rPr>
                    <w:t>02</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rPr>
                  </w:pPr>
                  <w:r>
                    <w:rPr>
                      <w:szCs w:val="24"/>
                    </w:rPr>
                    <w:t xml:space="preserve">Įgyvendintų privalomų matomumo ir informavimo priemonių apie ES fondų investicijų veiklas fiksuotoji suma, pirmojo rinkinio FS be PVM </w:t>
                  </w:r>
                </w:p>
              </w:tc>
              <w:tc>
                <w:tcPr>
                  <w:tcW w:w="2975" w:type="dxa"/>
                  <w:vMerge w:val="restart"/>
                  <w:tcBorders>
                    <w:top w:val="single" w:sz="8" w:space="0" w:color="auto"/>
                    <w:left w:val="single" w:sz="8" w:space="0" w:color="auto"/>
                    <w:right w:val="single" w:sz="8" w:space="0" w:color="auto"/>
                  </w:tcBorders>
                </w:tcPr>
                <w:p w:rsidR="00C95D21" w:rsidRDefault="00651846">
                  <w:pPr>
                    <w:ind w:firstLine="62"/>
                    <w:jc w:val="center"/>
                    <w:rPr>
                      <w:i/>
                      <w:iCs/>
                      <w:sz w:val="20"/>
                    </w:rPr>
                  </w:pPr>
                  <w:r>
                    <w:rPr>
                      <w:color w:val="0563C1"/>
                      <w:szCs w:val="24"/>
                      <w:u w:val="single"/>
                    </w:rPr>
                    <w:t>Supaprastintai apmokamų išlaidų dydžių regi</w:t>
                  </w:r>
                  <w:r>
                    <w:rPr>
                      <w:color w:val="0563C1"/>
                      <w:szCs w:val="24"/>
                      <w:u w:val="single"/>
                    </w:rPr>
                    <w:t>stras</w:t>
                  </w:r>
                </w:p>
              </w:tc>
            </w:tr>
            <w:tr w:rsidR="00C95D21">
              <w:tc>
                <w:tcPr>
                  <w:tcW w:w="2974"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rPr>
                  </w:pPr>
                  <w:r>
                    <w:rPr>
                      <w:szCs w:val="24"/>
                    </w:rPr>
                    <w:t>14.3. Projekto matomumo ir informavimo apie projektą priemonėms įgyvendinti būtinos išlaidos</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color w:val="000000"/>
                      <w:szCs w:val="24"/>
                      <w:lang w:eastAsia="lt-LT"/>
                    </w:rPr>
                  </w:pPr>
                  <w:r>
                    <w:rPr>
                      <w:szCs w:val="24"/>
                    </w:rPr>
                    <w:t>FS-01-04</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szCs w:val="24"/>
                    </w:rPr>
                  </w:pPr>
                  <w:r>
                    <w:rPr>
                      <w:szCs w:val="24"/>
                    </w:rPr>
                    <w:t>02</w:t>
                  </w:r>
                </w:p>
              </w:tc>
              <w:tc>
                <w:tcPr>
                  <w:tcW w:w="2975" w:type="dxa"/>
                  <w:tcBorders>
                    <w:top w:val="single" w:sz="8" w:space="0" w:color="auto"/>
                    <w:left w:val="single" w:sz="8" w:space="0" w:color="auto"/>
                    <w:bottom w:val="single" w:sz="8" w:space="0" w:color="auto"/>
                    <w:right w:val="single" w:sz="8" w:space="0" w:color="auto"/>
                  </w:tcBorders>
                </w:tcPr>
                <w:p w:rsidR="00C95D21" w:rsidRDefault="00651846">
                  <w:pPr>
                    <w:jc w:val="center"/>
                    <w:rPr>
                      <w:color w:val="000000"/>
                      <w:szCs w:val="24"/>
                      <w:lang w:eastAsia="lt-LT"/>
                    </w:rPr>
                  </w:pPr>
                  <w:r>
                    <w:rPr>
                      <w:szCs w:val="24"/>
                    </w:rPr>
                    <w:t>Įgyvendintų privalomų matomumo ir informavimo priemonių apie ES fondų investicijų veiklas fiksuotoji suma, pirmojo rinkinio FS su PVM</w:t>
                  </w:r>
                </w:p>
              </w:tc>
              <w:tc>
                <w:tcPr>
                  <w:tcW w:w="2975" w:type="dxa"/>
                  <w:vMerge/>
                  <w:tcBorders>
                    <w:left w:val="single" w:sz="8" w:space="0" w:color="auto"/>
                    <w:bottom w:val="single" w:sz="8" w:space="0" w:color="auto"/>
                    <w:right w:val="single" w:sz="8" w:space="0" w:color="auto"/>
                  </w:tcBorders>
                </w:tcPr>
                <w:p w:rsidR="00C95D21" w:rsidRDefault="00C95D21">
                  <w:pPr>
                    <w:jc w:val="center"/>
                    <w:rPr>
                      <w:i/>
                      <w:iCs/>
                      <w:sz w:val="20"/>
                    </w:rPr>
                  </w:pPr>
                </w:p>
              </w:tc>
            </w:tr>
          </w:tbl>
          <w:p w:rsidR="00C95D21" w:rsidRDefault="00C95D21">
            <w:pPr>
              <w:jc w:val="both"/>
              <w:rPr>
                <w:i/>
                <w:iCs/>
                <w:sz w:val="22"/>
                <w:szCs w:val="22"/>
              </w:rPr>
            </w:pPr>
          </w:p>
        </w:tc>
      </w:tr>
    </w:tbl>
    <w:p w:rsidR="00C95D21" w:rsidRDefault="00651846" w:rsidP="00651846">
      <w:pPr>
        <w:spacing w:line="276" w:lineRule="auto"/>
        <w:jc w:val="center"/>
        <w:rPr>
          <w:szCs w:val="24"/>
          <w:lang w:eastAsia="lt-LT"/>
        </w:rPr>
      </w:pPr>
      <w:r>
        <w:rPr>
          <w:rFonts w:eastAsia="Calibri"/>
          <w:szCs w:val="24"/>
        </w:rPr>
        <w:t>_______________</w:t>
      </w:r>
    </w:p>
    <w:p w:rsidR="00651846" w:rsidRDefault="00651846">
      <w:pPr>
        <w:ind w:left="9639"/>
        <w:jc w:val="both"/>
        <w:sectPr w:rsidR="00651846">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pgNumType w:start="1"/>
          <w:cols w:space="1296"/>
          <w:titlePg/>
          <w:docGrid w:linePitch="360"/>
        </w:sectPr>
      </w:pPr>
    </w:p>
    <w:p w:rsidR="00C95D21" w:rsidRDefault="00651846">
      <w:pPr>
        <w:ind w:left="9639"/>
        <w:jc w:val="both"/>
        <w:rPr>
          <w:szCs w:val="24"/>
          <w:lang w:eastAsia="lt-LT"/>
        </w:rPr>
      </w:pPr>
      <w:bookmarkStart w:id="0" w:name="_GoBack"/>
      <w:bookmarkEnd w:id="0"/>
      <w:r>
        <w:rPr>
          <w:szCs w:val="24"/>
          <w:lang w:val="en-US" w:eastAsia="lt-LT"/>
        </w:rPr>
        <w:t xml:space="preserve">1 </w:t>
      </w:r>
      <w:proofErr w:type="spellStart"/>
      <w:r>
        <w:rPr>
          <w:szCs w:val="24"/>
          <w:lang w:val="en-US" w:eastAsia="lt-LT"/>
        </w:rPr>
        <w:t>priedo</w:t>
      </w:r>
      <w:proofErr w:type="spellEnd"/>
      <w:r>
        <w:rPr>
          <w:szCs w:val="24"/>
          <w:lang w:val="en-US" w:eastAsia="lt-LT"/>
        </w:rPr>
        <w:t xml:space="preserve"> </w:t>
      </w:r>
      <w:r>
        <w:rPr>
          <w:bCs/>
          <w:szCs w:val="24"/>
        </w:rPr>
        <w:t>„</w:t>
      </w:r>
      <w:r>
        <w:rPr>
          <w:szCs w:val="24"/>
          <w:lang w:eastAsia="lt-LT"/>
        </w:rPr>
        <w:t xml:space="preserve">Civilinės saugos stiprinimo ir plėtros programos pažangos priemonės Nr. 01-004-10-04-01 „Stiprinti gyventojų perspėjimą, informavimą ir savisaugą“ veiklos „Parama gyventojų perspėjimo ir informavimo infrastruktūros </w:t>
      </w:r>
      <w:r>
        <w:rPr>
          <w:szCs w:val="24"/>
          <w:lang w:eastAsia="lt-LT"/>
        </w:rPr>
        <w:t>plėtrai“ projektų finansavimo sąlygų aprašo Nr. 1“</w:t>
      </w:r>
    </w:p>
    <w:p w:rsidR="00C95D21" w:rsidRDefault="00651846">
      <w:pPr>
        <w:ind w:left="9639"/>
        <w:jc w:val="both"/>
        <w:rPr>
          <w:szCs w:val="24"/>
        </w:rPr>
      </w:pPr>
      <w:r>
        <w:rPr>
          <w:szCs w:val="24"/>
        </w:rPr>
        <w:t>1</w:t>
      </w:r>
      <w:r>
        <w:rPr>
          <w:szCs w:val="24"/>
        </w:rPr>
        <w:t xml:space="preserve"> priedas</w:t>
      </w:r>
    </w:p>
    <w:p w:rsidR="00C95D21" w:rsidRDefault="00C95D21">
      <w:pPr>
        <w:jc w:val="center"/>
        <w:rPr>
          <w:i/>
          <w:iCs/>
          <w:szCs w:val="24"/>
        </w:rPr>
      </w:pPr>
    </w:p>
    <w:p w:rsidR="00C95D21" w:rsidRDefault="00C95D21">
      <w:pPr>
        <w:jc w:val="center"/>
        <w:rPr>
          <w:rFonts w:eastAsia="Calibri"/>
          <w:b/>
          <w:bCs/>
          <w:szCs w:val="24"/>
        </w:rPr>
      </w:pPr>
    </w:p>
    <w:p w:rsidR="00C95D21" w:rsidRDefault="00651846">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rsidR="00C95D21" w:rsidRDefault="00C95D21">
      <w:pPr>
        <w:jc w:val="center"/>
        <w:rPr>
          <w:rFonts w:eastAsia="Calibri"/>
          <w:bCs/>
          <w:szCs w:val="24"/>
        </w:rPr>
      </w:pPr>
    </w:p>
    <w:p w:rsidR="00C95D21" w:rsidRDefault="00651846">
      <w:pPr>
        <w:spacing w:line="276" w:lineRule="auto"/>
        <w:jc w:val="both"/>
        <w:rPr>
          <w:rFonts w:eastAsia="Calibri"/>
          <w:bCs/>
          <w:szCs w:val="24"/>
        </w:rPr>
      </w:pPr>
      <w:r>
        <w:rPr>
          <w:rFonts w:eastAsia="Calibri"/>
          <w:bCs/>
          <w:szCs w:val="24"/>
        </w:rPr>
        <w:t xml:space="preserve">Finansavimo šaltinis, pagal kurį finansuojamas projektas </w:t>
      </w:r>
      <w:r>
        <w:rPr>
          <w:rFonts w:eastAsia="Calibri"/>
          <w:bCs/>
          <w:i/>
          <w:iCs/>
          <w:szCs w:val="24"/>
        </w:rPr>
        <w:t>(</w:t>
      </w:r>
      <w:r>
        <w:rPr>
          <w:rFonts w:eastAsia="Calibri"/>
          <w:bCs/>
          <w:i/>
          <w:szCs w:val="24"/>
        </w:rPr>
        <w:t>pažymėkite tinkamą</w:t>
      </w:r>
      <w:r>
        <w:rPr>
          <w:rFonts w:eastAsia="Calibri"/>
          <w:bCs/>
          <w:i/>
          <w:iCs/>
          <w:szCs w:val="24"/>
        </w:rPr>
        <w:t>)</w:t>
      </w:r>
      <w:r>
        <w:rPr>
          <w:rFonts w:eastAsia="Calibri"/>
          <w:bCs/>
          <w:szCs w:val="24"/>
        </w:rPr>
        <w:t>:</w:t>
      </w:r>
    </w:p>
    <w:p w:rsidR="00C95D21" w:rsidRDefault="00651846">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rsidR="00C95D21" w:rsidRDefault="00651846">
      <w:pPr>
        <w:spacing w:line="276" w:lineRule="auto"/>
        <w:jc w:val="both"/>
        <w:rPr>
          <w:rFonts w:eastAsia="Calibri"/>
          <w:bCs/>
          <w:szCs w:val="24"/>
        </w:rPr>
      </w:pPr>
      <w:r>
        <w:sym w:font="Wingdings 2" w:char="F0CF"/>
      </w:r>
      <w:r>
        <w:t xml:space="preserve"> Europos Sąjungos fondų i</w:t>
      </w:r>
      <w:r>
        <w:rPr>
          <w:rFonts w:eastAsia="Calibri"/>
          <w:bCs/>
          <w:szCs w:val="24"/>
        </w:rPr>
        <w:t>nvesticijų programa (toliau – ESFIP)</w:t>
      </w:r>
    </w:p>
    <w:p w:rsidR="00C95D21" w:rsidRDefault="00C95D21">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C95D21">
        <w:tc>
          <w:tcPr>
            <w:tcW w:w="4933" w:type="dxa"/>
          </w:tcPr>
          <w:p w:rsidR="00C95D21" w:rsidRDefault="00651846">
            <w:pPr>
              <w:jc w:val="center"/>
              <w:rPr>
                <w:rFonts w:eastAsia="Calibri"/>
                <w:b/>
                <w:szCs w:val="24"/>
              </w:rPr>
            </w:pPr>
            <w:r>
              <w:rPr>
                <w:rFonts w:eastAsia="Calibri"/>
                <w:b/>
                <w:szCs w:val="24"/>
              </w:rPr>
              <w:t>Aplinkos tikslai</w:t>
            </w:r>
          </w:p>
          <w:p w:rsidR="00C95D21" w:rsidRDefault="00651846">
            <w:pPr>
              <w:jc w:val="both"/>
              <w:rPr>
                <w:rFonts w:eastAsia="Calibri"/>
                <w:szCs w:val="24"/>
              </w:rPr>
            </w:pPr>
            <w:r>
              <w:rPr>
                <w:rFonts w:eastAsia="Calibri"/>
                <w:i/>
                <w:iCs/>
                <w:szCs w:val="24"/>
              </w:rPr>
              <w:t>(</w:t>
            </w:r>
            <w:r>
              <w:rPr>
                <w:rFonts w:eastAsia="Calibri"/>
                <w:i/>
                <w:szCs w:val="24"/>
              </w:rPr>
              <w:t>pagal 2020 m. birželio 1</w:t>
            </w:r>
            <w:r>
              <w:rPr>
                <w:rFonts w:eastAsia="Calibri"/>
                <w:i/>
                <w:szCs w:val="24"/>
              </w:rPr>
              <w:t>8 d. Europos Parlamento ir Tarybos reglamentą (ES) 2020/852 dėl sistemos tvariam investavimui palengvinti sukūrimo, kuriuo iš dalies keičiamas Reglamentas (ES) Nr. 2019/2088)</w:t>
            </w:r>
          </w:p>
        </w:tc>
        <w:tc>
          <w:tcPr>
            <w:tcW w:w="4678" w:type="dxa"/>
          </w:tcPr>
          <w:p w:rsidR="00C95D21" w:rsidRDefault="00651846">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rsidR="00C95D21" w:rsidRDefault="00651846">
            <w:pPr>
              <w:jc w:val="both"/>
              <w:rPr>
                <w:rFonts w:eastAsia="Calibri"/>
                <w:szCs w:val="24"/>
              </w:rPr>
            </w:pPr>
            <w:r>
              <w:rPr>
                <w:rFonts w:eastAsia="Calibri"/>
                <w:bCs/>
                <w:i/>
                <w:szCs w:val="24"/>
              </w:rPr>
              <w:t xml:space="preserve">(remiantis priemonių (kai finansavimo </w:t>
            </w:r>
            <w:r>
              <w:rPr>
                <w:rFonts w:eastAsia="Calibri"/>
                <w:bCs/>
                <w:i/>
                <w:szCs w:val="24"/>
              </w:rPr>
              <w:t>šaltinis EGADP) arba veiksmų (veiklų) (kai finansavimo šaltinis ESFIP) vertinimo anketomis, nurodoma tik ta vertinimo anketos dalis, kuri aktuali finansuotinai veiklai)</w:t>
            </w:r>
          </w:p>
          <w:p w:rsidR="00C95D21" w:rsidRDefault="00651846">
            <w:pPr>
              <w:jc w:val="both"/>
              <w:rPr>
                <w:rFonts w:eastAsia="Calibri"/>
                <w:b/>
                <w:bCs/>
                <w:i/>
                <w:szCs w:val="24"/>
              </w:rPr>
            </w:pPr>
            <w:r>
              <w:rPr>
                <w:rFonts w:eastAsia="Calibri"/>
                <w:bCs/>
                <w:i/>
                <w:szCs w:val="24"/>
              </w:rPr>
              <w:t>(papildomai gali būti nurodomi nacionaliniai teisės aktai, kuriais įgyvendinami vertini</w:t>
            </w:r>
            <w:r>
              <w:rPr>
                <w:rFonts w:eastAsia="Calibri"/>
                <w:bCs/>
                <w:i/>
                <w:szCs w:val="24"/>
              </w:rPr>
              <w:t>mo anketose minimi Europos Sąjungos teisės aktai)</w:t>
            </w:r>
          </w:p>
        </w:tc>
        <w:tc>
          <w:tcPr>
            <w:tcW w:w="5387" w:type="dxa"/>
          </w:tcPr>
          <w:p w:rsidR="00C95D21" w:rsidRDefault="00651846">
            <w:pPr>
              <w:jc w:val="center"/>
              <w:rPr>
                <w:rFonts w:eastAsia="Calibri"/>
                <w:b/>
                <w:i/>
                <w:sz w:val="20"/>
              </w:rPr>
            </w:pPr>
            <w:r>
              <w:rPr>
                <w:rFonts w:eastAsia="Calibri"/>
                <w:b/>
                <w:szCs w:val="24"/>
              </w:rPr>
              <w:t>Pagrindimo dokumentai</w:t>
            </w:r>
          </w:p>
          <w:p w:rsidR="00C95D21" w:rsidRDefault="00651846">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C95D21">
        <w:tc>
          <w:tcPr>
            <w:tcW w:w="4933" w:type="dxa"/>
          </w:tcPr>
          <w:p w:rsidR="00C95D21" w:rsidRDefault="00651846">
            <w:pPr>
              <w:tabs>
                <w:tab w:val="left" w:pos="289"/>
              </w:tabs>
              <w:ind w:firstLine="5"/>
              <w:jc w:val="both"/>
              <w:rPr>
                <w:rFonts w:eastAsia="Calibri"/>
                <w:szCs w:val="24"/>
              </w:rPr>
            </w:pPr>
            <w:r>
              <w:rPr>
                <w:rFonts w:eastAsia="Calibri"/>
                <w:szCs w:val="24"/>
              </w:rPr>
              <w:t>1.</w:t>
            </w:r>
            <w:r>
              <w:rPr>
                <w:rFonts w:eastAsia="Calibri"/>
                <w:szCs w:val="24"/>
              </w:rPr>
              <w:tab/>
              <w:t>Klimato kaitos švelninim</w:t>
            </w:r>
            <w:r>
              <w:rPr>
                <w:rFonts w:eastAsia="Calibri"/>
                <w:szCs w:val="24"/>
              </w:rPr>
              <w:t>as</w:t>
            </w:r>
          </w:p>
        </w:tc>
        <w:tc>
          <w:tcPr>
            <w:tcW w:w="4678" w:type="dxa"/>
          </w:tcPr>
          <w:p w:rsidR="00C95D21" w:rsidRDefault="00651846">
            <w:pPr>
              <w:jc w:val="both"/>
              <w:rPr>
                <w:rFonts w:eastAsia="Calibri"/>
                <w:bCs/>
                <w:i/>
                <w:sz w:val="20"/>
              </w:rPr>
            </w:pPr>
            <w:r>
              <w:t>Vertinama, kad planuojama įgyvendinti veikla dėl savo pobūdžio neturės jokio neigiamo tiesioginio ar netiesioginio poveikio klimato kaitos švelninimo tikslui, nes įgyvendinant veiklas nenumatoma kurti jokios infrastruktūros, kuri galėtų turėti poveikį k</w:t>
            </w:r>
            <w:r>
              <w:t>limato kaitos švelninimui. Laikoma, kad veiklos atitinka klimato kaitos švelninimo tikslą.</w:t>
            </w:r>
          </w:p>
        </w:tc>
        <w:tc>
          <w:tcPr>
            <w:tcW w:w="5387" w:type="dxa"/>
          </w:tcPr>
          <w:p w:rsidR="00C95D21" w:rsidRDefault="00651846">
            <w:pPr>
              <w:tabs>
                <w:tab w:val="left" w:pos="589"/>
              </w:tabs>
              <w:jc w:val="both"/>
              <w:rPr>
                <w:rFonts w:eastAsia="Calibri"/>
                <w:iCs/>
                <w:szCs w:val="24"/>
              </w:rPr>
            </w:pPr>
            <w:r>
              <w:rPr>
                <w:rFonts w:eastAsia="Calibri"/>
                <w:iCs/>
                <w:szCs w:val="24"/>
              </w:rPr>
              <w:t>Netaikoma, nes planuojama veikla pagal savo pobūdį neturės jokio tiesioginio ar netiesioginio neigiamo poveikio klimato kaitos švelninimo tikslui.</w:t>
            </w:r>
          </w:p>
        </w:tc>
      </w:tr>
      <w:tr w:rsidR="00C95D21">
        <w:tc>
          <w:tcPr>
            <w:tcW w:w="4933" w:type="dxa"/>
          </w:tcPr>
          <w:p w:rsidR="00C95D21" w:rsidRDefault="00651846">
            <w:pPr>
              <w:tabs>
                <w:tab w:val="left" w:pos="289"/>
              </w:tabs>
              <w:ind w:firstLine="5"/>
              <w:jc w:val="both"/>
              <w:rPr>
                <w:rFonts w:eastAsia="Calibri"/>
                <w:szCs w:val="24"/>
              </w:rPr>
            </w:pPr>
            <w:r>
              <w:rPr>
                <w:rFonts w:eastAsia="Calibri"/>
                <w:szCs w:val="24"/>
              </w:rPr>
              <w:t>2.</w:t>
            </w:r>
            <w:r>
              <w:rPr>
                <w:rFonts w:eastAsia="Calibri"/>
                <w:szCs w:val="24"/>
              </w:rPr>
              <w:tab/>
              <w:t xml:space="preserve">Prisitaikymas </w:t>
            </w:r>
            <w:r>
              <w:rPr>
                <w:rFonts w:eastAsia="Calibri"/>
                <w:szCs w:val="24"/>
              </w:rPr>
              <w:t>prie klimato kaitos</w:t>
            </w:r>
          </w:p>
        </w:tc>
        <w:tc>
          <w:tcPr>
            <w:tcW w:w="4678" w:type="dxa"/>
          </w:tcPr>
          <w:p w:rsidR="00C95D21" w:rsidRDefault="00651846">
            <w:pPr>
              <w:jc w:val="both"/>
              <w:rPr>
                <w:rFonts w:eastAsia="Calibri"/>
                <w:bCs/>
                <w:szCs w:val="24"/>
              </w:rPr>
            </w:pPr>
            <w:r>
              <w:t>Vertinama, kad planuojama įgyvendinti veikla dėl savo pobūdžio neturės jokio neigiamo tiesioginio ar netiesioginio poveikio prisitaikymo prie klimato kaitos tikslui, nes nenumatoma kurti jokios infrastruktūros (nauja statyba ar infrastr</w:t>
            </w:r>
            <w:r>
              <w:t>uktūros modernizavimas). Laikoma, kad veiklos atitinka prisitaikymo prie klimato kaitos tikslą.</w:t>
            </w:r>
          </w:p>
        </w:tc>
        <w:tc>
          <w:tcPr>
            <w:tcW w:w="5387" w:type="dxa"/>
          </w:tcPr>
          <w:p w:rsidR="00C95D21" w:rsidRDefault="00651846">
            <w:pPr>
              <w:jc w:val="both"/>
              <w:rPr>
                <w:rFonts w:eastAsia="Calibri"/>
                <w:szCs w:val="24"/>
              </w:rPr>
            </w:pPr>
            <w:r>
              <w:rPr>
                <w:rFonts w:eastAsia="Calibri"/>
                <w:szCs w:val="24"/>
              </w:rPr>
              <w:t>Netaikoma, nes planuojama veikla pagal savo pobūdį neturės jokio tiesioginio ar netiesioginio neigiamo poveikio prisitaikymo prie klimato kaitos tikslui.</w:t>
            </w:r>
          </w:p>
        </w:tc>
      </w:tr>
      <w:tr w:rsidR="00C95D21">
        <w:tc>
          <w:tcPr>
            <w:tcW w:w="4933" w:type="dxa"/>
          </w:tcPr>
          <w:p w:rsidR="00C95D21" w:rsidRDefault="00651846">
            <w:pPr>
              <w:tabs>
                <w:tab w:val="left" w:pos="289"/>
              </w:tabs>
              <w:ind w:firstLine="5"/>
              <w:jc w:val="both"/>
              <w:rPr>
                <w:rFonts w:eastAsia="Calibri"/>
                <w:szCs w:val="24"/>
              </w:rPr>
            </w:pPr>
            <w:r>
              <w:rPr>
                <w:rFonts w:eastAsia="Calibri"/>
                <w:szCs w:val="24"/>
              </w:rPr>
              <w:t>3.</w:t>
            </w:r>
            <w:r>
              <w:rPr>
                <w:rFonts w:eastAsia="Calibri"/>
                <w:szCs w:val="24"/>
              </w:rPr>
              <w:tab/>
              <w:t>Ta</w:t>
            </w:r>
            <w:r>
              <w:rPr>
                <w:rFonts w:eastAsia="Calibri"/>
                <w:szCs w:val="24"/>
              </w:rPr>
              <w:t>usus vandens ir jūrų išteklių naudojimas ir apsauga</w:t>
            </w:r>
          </w:p>
        </w:tc>
        <w:tc>
          <w:tcPr>
            <w:tcW w:w="4678" w:type="dxa"/>
          </w:tcPr>
          <w:p w:rsidR="00C95D21" w:rsidRDefault="00651846">
            <w:pPr>
              <w:jc w:val="both"/>
              <w:rPr>
                <w:rFonts w:eastAsia="Calibri"/>
                <w:szCs w:val="24"/>
              </w:rPr>
            </w:pPr>
            <w:r>
              <w:rPr>
                <w:rFonts w:eastAsia="Calibri"/>
                <w:szCs w:val="24"/>
              </w:rPr>
              <w:t>Vertinama, kad planuojama įgyvendinti veikla dėl savo pobūdžio neturės jokio neigiamo tiesioginio ir netiesioginio poveikio šiam aplinkos tikslui, nes nenumatoma kurti jokios infrastruktūros šalia vandens</w:t>
            </w:r>
            <w:r>
              <w:rPr>
                <w:rFonts w:eastAsia="Calibri"/>
                <w:szCs w:val="24"/>
              </w:rPr>
              <w:t xml:space="preserve"> telkinių, kuri galėtų turėti įtakos tausiam vandens ir jūrų išteklių naudojimui. Laikoma, kad ši veikla atitinka tausaus vandens ir jūrų išteklių naudojimo ir apsaugos tikslą.</w:t>
            </w:r>
          </w:p>
        </w:tc>
        <w:tc>
          <w:tcPr>
            <w:tcW w:w="5387" w:type="dxa"/>
          </w:tcPr>
          <w:p w:rsidR="00C95D21" w:rsidRDefault="00651846">
            <w:pPr>
              <w:jc w:val="both"/>
              <w:rPr>
                <w:rFonts w:eastAsia="Calibri"/>
                <w:bCs/>
                <w:szCs w:val="24"/>
              </w:rPr>
            </w:pPr>
            <w:r>
              <w:rPr>
                <w:rFonts w:eastAsia="Calibri"/>
                <w:bCs/>
                <w:szCs w:val="24"/>
              </w:rPr>
              <w:t>Netaikoma, nes planuojama veikla pagal savo pobūdį neturės jokio tiesioginio ar</w:t>
            </w:r>
            <w:r>
              <w:rPr>
                <w:rFonts w:eastAsia="Calibri"/>
                <w:bCs/>
                <w:szCs w:val="24"/>
              </w:rPr>
              <w:t xml:space="preserve"> netiesioginio neigiamo poveikio tausaus vandens ir jūrų išteklių naudojimo ir apsaugos tikslui.</w:t>
            </w:r>
          </w:p>
        </w:tc>
      </w:tr>
      <w:tr w:rsidR="00C95D21">
        <w:tc>
          <w:tcPr>
            <w:tcW w:w="4933" w:type="dxa"/>
          </w:tcPr>
          <w:p w:rsidR="00C95D21" w:rsidRDefault="00651846">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rsidR="00C95D21" w:rsidRDefault="00651846">
            <w:pPr>
              <w:jc w:val="both"/>
            </w:pPr>
            <w:r>
              <w:t>Vertinama, kad planuojama įgyvendinti veikla neturės jokio neigiamo tiesiogi</w:t>
            </w:r>
            <w:r>
              <w:t>nio ar netiesioginio poveikio žiedinės ekonomikos, įskaitant atliekų prevenciją ir perdirbimą, tikslui, nes nenumatoma, kad susidarys atliekos. Laikoma, kad ši veikla atitinka žiedinės ekonomikos tikslą.</w:t>
            </w:r>
          </w:p>
          <w:p w:rsidR="00C95D21" w:rsidRDefault="00651846">
            <w:pPr>
              <w:jc w:val="both"/>
              <w:rPr>
                <w:rFonts w:eastAsia="Calibri"/>
                <w:bCs/>
                <w:szCs w:val="24"/>
              </w:rPr>
            </w:pPr>
            <w:r>
              <w:rPr>
                <w:rFonts w:eastAsia="Calibri"/>
                <w:bCs/>
                <w:szCs w:val="24"/>
              </w:rPr>
              <w:t>Pasibaigus naudingam įrangos naudojimo laikui, susid</w:t>
            </w:r>
            <w:r>
              <w:rPr>
                <w:rFonts w:eastAsia="Calibri"/>
                <w:bCs/>
                <w:szCs w:val="24"/>
              </w:rPr>
              <w:t>ėvėjusi įranga bus perduota autorizuotai elektronikos atliekų perdirbimo įmonei, parengiama pakartotiniam naudojimui, atliekų naudojimui ar perdirbimui arba tinkamai apdorojama, įskaitant visų skysčių pašalinimą ir atrankinį apdorojimą pagal Europos Parlam</w:t>
            </w:r>
            <w:r>
              <w:rPr>
                <w:rFonts w:eastAsia="Calibri"/>
                <w:bCs/>
                <w:szCs w:val="24"/>
              </w:rPr>
              <w:t>ento ir Tarybos direktyvos 2012/19/ES ( 310 ) VII priedą.</w:t>
            </w:r>
          </w:p>
        </w:tc>
        <w:tc>
          <w:tcPr>
            <w:tcW w:w="5387" w:type="dxa"/>
          </w:tcPr>
          <w:p w:rsidR="00C95D21" w:rsidRDefault="00651846">
            <w:pPr>
              <w:jc w:val="both"/>
              <w:rPr>
                <w:rFonts w:eastAsia="Calibri"/>
                <w:szCs w:val="24"/>
              </w:rPr>
            </w:pPr>
            <w:r>
              <w:rPr>
                <w:rFonts w:eastAsia="Calibri"/>
                <w:szCs w:val="24"/>
              </w:rPr>
              <w:t>Projektui įgyvendinti įsigyta įranga, baigusi savo gyvavimo ciklą, bus sutvarkoma vadovaujantis Lietuvos Respublikos atliekų tvarkymo įstatymo nuostatomis. Projekto atitiktis vertinama pagal pateiki</w:t>
            </w:r>
            <w:r>
              <w:rPr>
                <w:rFonts w:eastAsia="Calibri"/>
                <w:szCs w:val="24"/>
              </w:rPr>
              <w:t>amą Pareiškėjo (partnerio) įsipareigojimo dėl elektros ir elektroninės įrangos, baigusios gyvavimo ciklą, perdavimo sutvarkymui deklaraciją (Aprašo 2 priedas).</w:t>
            </w:r>
          </w:p>
        </w:tc>
      </w:tr>
      <w:tr w:rsidR="00C95D21">
        <w:tc>
          <w:tcPr>
            <w:tcW w:w="4933" w:type="dxa"/>
          </w:tcPr>
          <w:p w:rsidR="00C95D21" w:rsidRDefault="00651846">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rsidR="00C95D21" w:rsidRDefault="00651846">
            <w:pPr>
              <w:jc w:val="both"/>
            </w:pPr>
            <w:r>
              <w:t xml:space="preserve">Vertinama, kad planuojama įgyvendinti </w:t>
            </w:r>
            <w:r>
              <w:t>veikla dėl savo pobūdžio neturės jokio neigiamo tiesioginio ar netiesioginio poveikio šiam aplinkos tikslui. Laikoma, kad ši veikla atitinka oro, vandens ar žemės taršos prevencijos ir kontrolės tikslą.</w:t>
            </w:r>
          </w:p>
        </w:tc>
        <w:tc>
          <w:tcPr>
            <w:tcW w:w="5387" w:type="dxa"/>
          </w:tcPr>
          <w:p w:rsidR="00C95D21" w:rsidRDefault="00651846">
            <w:pPr>
              <w:jc w:val="both"/>
              <w:rPr>
                <w:rFonts w:eastAsia="Calibri"/>
                <w:szCs w:val="24"/>
              </w:rPr>
            </w:pPr>
            <w:r>
              <w:rPr>
                <w:rFonts w:eastAsia="Calibri"/>
                <w:szCs w:val="24"/>
              </w:rPr>
              <w:t>Netaikoma, nes planuojama veikla pagal savo pobūdį ne</w:t>
            </w:r>
            <w:r>
              <w:rPr>
                <w:rFonts w:eastAsia="Calibri"/>
                <w:szCs w:val="24"/>
              </w:rPr>
              <w:t>turės jokio tiesioginio ar netiesioginio neigiamo poveikio oro, vandens ar žemės taršos prevencijos ir kontrolės tikslui.</w:t>
            </w:r>
          </w:p>
        </w:tc>
      </w:tr>
      <w:tr w:rsidR="00C95D21">
        <w:tc>
          <w:tcPr>
            <w:tcW w:w="4933" w:type="dxa"/>
          </w:tcPr>
          <w:p w:rsidR="00C95D21" w:rsidRDefault="00651846">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rsidR="00C95D21" w:rsidRDefault="00651846">
            <w:pPr>
              <w:jc w:val="both"/>
              <w:rPr>
                <w:rFonts w:eastAsia="Calibri"/>
                <w:szCs w:val="24"/>
              </w:rPr>
            </w:pPr>
            <w:r>
              <w:t>Vertinama, kad planuojama įgyvendinti veikla dėl savo pobūdžio neturės jok</w:t>
            </w:r>
            <w:r>
              <w:t>io neigiamo tiesioginio ir netiesioginio poveikio šiam aplinkos tikslui, nes nenumatoma kurti ar modernizuoti infrastruktūrą „</w:t>
            </w:r>
            <w:proofErr w:type="spellStart"/>
            <w:r>
              <w:t>Natura</w:t>
            </w:r>
            <w:proofErr w:type="spellEnd"/>
            <w:r>
              <w:t xml:space="preserve"> 2000“, UNESCO pasaulinio paveldo ar kitose saugomose teritorijose. Laikoma, kad ši veikla atitinka biologinės įvairovės ir </w:t>
            </w:r>
            <w:r>
              <w:t>ekosistemų apsaugos ir atkūrimo tikslą.</w:t>
            </w:r>
          </w:p>
        </w:tc>
        <w:tc>
          <w:tcPr>
            <w:tcW w:w="5387" w:type="dxa"/>
          </w:tcPr>
          <w:p w:rsidR="00C95D21" w:rsidRDefault="00651846">
            <w:pPr>
              <w:jc w:val="both"/>
              <w:rPr>
                <w:rFonts w:eastAsia="Calibri"/>
                <w:szCs w:val="24"/>
              </w:rPr>
            </w:pPr>
            <w:r>
              <w:rPr>
                <w:rFonts w:eastAsia="Calibri"/>
                <w:szCs w:val="24"/>
              </w:rPr>
              <w:t>Netaikoma, nes planuojama veikla pagal savo pobūdį neturės jokio tiesioginio ar netiesioginio neigiamo poveikio biologinės įvairovės ir ekosistemų apsaugai ir atkūrimui.</w:t>
            </w:r>
          </w:p>
        </w:tc>
      </w:tr>
    </w:tbl>
    <w:p w:rsidR="00C95D21" w:rsidRDefault="00C95D21"/>
    <w:p w:rsidR="00C95D21" w:rsidRDefault="00651846" w:rsidP="00651846">
      <w:pPr>
        <w:spacing w:line="276" w:lineRule="auto"/>
        <w:jc w:val="center"/>
        <w:rPr>
          <w:szCs w:val="24"/>
          <w:lang w:eastAsia="lt-LT"/>
        </w:rPr>
      </w:pPr>
      <w:r>
        <w:rPr>
          <w:rFonts w:eastAsia="Calibri"/>
          <w:sz w:val="22"/>
          <w:szCs w:val="22"/>
        </w:rPr>
        <w:t>________________</w:t>
      </w:r>
    </w:p>
    <w:p w:rsidR="00651846" w:rsidRDefault="00651846">
      <w:pPr>
        <w:ind w:left="9639"/>
        <w:jc w:val="both"/>
        <w:sectPr w:rsidR="00651846">
          <w:pgSz w:w="16838" w:h="11906" w:orient="landscape"/>
          <w:pgMar w:top="1701" w:right="567" w:bottom="1134" w:left="1134" w:header="567" w:footer="567" w:gutter="0"/>
          <w:pgNumType w:start="1"/>
          <w:cols w:space="1296"/>
          <w:titlePg/>
          <w:docGrid w:linePitch="360"/>
        </w:sectPr>
      </w:pPr>
    </w:p>
    <w:p w:rsidR="00C95D21" w:rsidRDefault="00651846">
      <w:pPr>
        <w:ind w:left="9639"/>
        <w:jc w:val="both"/>
        <w:rPr>
          <w:szCs w:val="24"/>
          <w:lang w:eastAsia="lt-LT"/>
        </w:rPr>
      </w:pPr>
      <w:r>
        <w:rPr>
          <w:szCs w:val="24"/>
          <w:lang w:eastAsia="lt-LT"/>
        </w:rPr>
        <w:t xml:space="preserve">1 priedo </w:t>
      </w:r>
      <w:r>
        <w:rPr>
          <w:bCs/>
          <w:szCs w:val="24"/>
        </w:rPr>
        <w:t>„</w:t>
      </w:r>
      <w:r>
        <w:rPr>
          <w:szCs w:val="24"/>
          <w:lang w:eastAsia="lt-LT"/>
        </w:rPr>
        <w:t>Civilinės saugos stiprinimo ir plėtros programos pažangos priemonės Nr. 01-004-10-04-01 „Stiprinti gyventojų perspėjimą, informavimą ir savisaugą“ veiklos „Parama gyventojų perspėjimo ir informavimo infrastruktūros plėtrai“ projektų finansavimo sąlygų apra</w:t>
      </w:r>
      <w:r>
        <w:rPr>
          <w:szCs w:val="24"/>
          <w:lang w:eastAsia="lt-LT"/>
        </w:rPr>
        <w:t>šo Nr. 1“</w:t>
      </w:r>
    </w:p>
    <w:p w:rsidR="00C95D21" w:rsidRDefault="00651846">
      <w:pPr>
        <w:ind w:left="9639"/>
        <w:jc w:val="both"/>
        <w:rPr>
          <w:szCs w:val="24"/>
        </w:rPr>
      </w:pPr>
      <w:r>
        <w:rPr>
          <w:szCs w:val="24"/>
        </w:rPr>
        <w:t>2</w:t>
      </w:r>
      <w:r>
        <w:rPr>
          <w:szCs w:val="24"/>
        </w:rPr>
        <w:t xml:space="preserve"> priedas</w:t>
      </w:r>
    </w:p>
    <w:p w:rsidR="00C95D21" w:rsidRDefault="00C95D21">
      <w:pPr>
        <w:spacing w:line="276" w:lineRule="auto"/>
        <w:jc w:val="center"/>
        <w:rPr>
          <w:szCs w:val="24"/>
        </w:rPr>
      </w:pPr>
    </w:p>
    <w:p w:rsidR="00C95D21" w:rsidRDefault="00651846">
      <w:pPr>
        <w:tabs>
          <w:tab w:val="left" w:pos="5670"/>
        </w:tabs>
        <w:jc w:val="center"/>
        <w:rPr>
          <w:b/>
          <w:caps/>
          <w:szCs w:val="24"/>
        </w:rPr>
      </w:pPr>
      <w:r>
        <w:rPr>
          <w:b/>
          <w:caps/>
          <w:szCs w:val="24"/>
        </w:rPr>
        <w:t xml:space="preserve">PAREIŠKĖJO (PARTNERIO) įsipareigojimo dėl ELEKTROS IR ELEKTRONINĖS ĮRANGOS, BAIGUSIOS GYVAVIMO CIKLĄ, PERDAVIMO SUTVARKYMUI  </w:t>
      </w:r>
    </w:p>
    <w:p w:rsidR="00C95D21" w:rsidRDefault="00651846">
      <w:pPr>
        <w:tabs>
          <w:tab w:val="left" w:pos="5670"/>
        </w:tabs>
        <w:jc w:val="center"/>
        <w:rPr>
          <w:b/>
          <w:caps/>
          <w:szCs w:val="24"/>
        </w:rPr>
      </w:pPr>
      <w:r>
        <w:rPr>
          <w:b/>
          <w:caps/>
          <w:szCs w:val="24"/>
        </w:rPr>
        <w:t>deklaracija</w:t>
      </w:r>
    </w:p>
    <w:p w:rsidR="00C95D21" w:rsidRDefault="00C95D21">
      <w:pPr>
        <w:tabs>
          <w:tab w:val="left" w:pos="5670"/>
        </w:tabs>
        <w:jc w:val="center"/>
        <w:rPr>
          <w:b/>
          <w:caps/>
          <w:szCs w:val="24"/>
        </w:rPr>
      </w:pPr>
    </w:p>
    <w:p w:rsidR="00C95D21" w:rsidRDefault="00651846">
      <w:pPr>
        <w:tabs>
          <w:tab w:val="left" w:pos="284"/>
          <w:tab w:val="left" w:pos="1985"/>
        </w:tabs>
        <w:jc w:val="center"/>
        <w:rPr>
          <w:szCs w:val="24"/>
        </w:rPr>
      </w:pPr>
      <w:r>
        <w:rPr>
          <w:szCs w:val="24"/>
        </w:rPr>
        <w:t>20___ m. ________________d.</w:t>
      </w:r>
    </w:p>
    <w:p w:rsidR="00C95D21" w:rsidRDefault="00C95D21">
      <w:pPr>
        <w:tabs>
          <w:tab w:val="left" w:pos="0"/>
          <w:tab w:val="left" w:pos="959"/>
          <w:tab w:val="left" w:pos="1918"/>
          <w:tab w:val="left" w:pos="2877"/>
          <w:tab w:val="left" w:pos="3836"/>
          <w:tab w:val="left" w:pos="4795"/>
          <w:tab w:val="left" w:pos="5754"/>
          <w:tab w:val="left" w:pos="6713"/>
          <w:tab w:val="left" w:pos="7672"/>
          <w:tab w:val="left" w:pos="8631"/>
        </w:tabs>
        <w:jc w:val="center"/>
        <w:rPr>
          <w:szCs w:val="24"/>
          <w:u w:val="single"/>
        </w:rPr>
      </w:pPr>
    </w:p>
    <w:p w:rsidR="00C95D21" w:rsidRDefault="00651846">
      <w:pPr>
        <w:tabs>
          <w:tab w:val="left" w:pos="0"/>
          <w:tab w:val="left" w:pos="959"/>
          <w:tab w:val="left" w:pos="1918"/>
          <w:tab w:val="left" w:pos="2877"/>
          <w:tab w:val="left" w:pos="3836"/>
          <w:tab w:val="left" w:pos="4795"/>
          <w:tab w:val="left" w:pos="5754"/>
          <w:tab w:val="left" w:pos="6713"/>
          <w:tab w:val="left" w:pos="7672"/>
          <w:tab w:val="left" w:pos="8631"/>
        </w:tabs>
        <w:jc w:val="center"/>
        <w:rPr>
          <w:szCs w:val="24"/>
        </w:rPr>
      </w:pPr>
      <w:r>
        <w:rPr>
          <w:szCs w:val="24"/>
        </w:rPr>
        <w:t>_______________________</w:t>
      </w:r>
    </w:p>
    <w:p w:rsidR="00C95D21" w:rsidRDefault="00651846">
      <w:pPr>
        <w:tabs>
          <w:tab w:val="left" w:pos="0"/>
          <w:tab w:val="left" w:pos="959"/>
          <w:tab w:val="left" w:pos="1918"/>
          <w:tab w:val="left" w:pos="2877"/>
          <w:tab w:val="left" w:pos="3836"/>
          <w:tab w:val="left" w:pos="4795"/>
          <w:tab w:val="left" w:pos="5754"/>
          <w:tab w:val="left" w:pos="6713"/>
          <w:tab w:val="left" w:pos="7672"/>
          <w:tab w:val="left" w:pos="8631"/>
        </w:tabs>
        <w:jc w:val="center"/>
        <w:rPr>
          <w:i/>
          <w:sz w:val="20"/>
        </w:rPr>
      </w:pPr>
      <w:r>
        <w:rPr>
          <w:i/>
        </w:rPr>
        <w:t>(vietovės pavadinimas)</w:t>
      </w:r>
    </w:p>
    <w:p w:rsidR="00C95D21" w:rsidRDefault="00C95D21">
      <w:pPr>
        <w:jc w:val="center"/>
        <w:rPr>
          <w:szCs w:val="24"/>
        </w:rPr>
      </w:pPr>
    </w:p>
    <w:p w:rsidR="00C95D21" w:rsidRDefault="00C95D21">
      <w:pPr>
        <w:tabs>
          <w:tab w:val="center" w:pos="3686"/>
        </w:tabs>
        <w:rPr>
          <w:b/>
          <w:szCs w:val="24"/>
        </w:rPr>
      </w:pPr>
    </w:p>
    <w:p w:rsidR="00C95D21" w:rsidRDefault="00651846">
      <w:pPr>
        <w:ind w:firstLine="720"/>
        <w:jc w:val="both"/>
        <w:rPr>
          <w:szCs w:val="24"/>
        </w:rPr>
      </w:pPr>
      <w:r>
        <w:rPr>
          <w:szCs w:val="24"/>
        </w:rPr>
        <w:t xml:space="preserve">Aš, </w:t>
      </w:r>
      <w:r>
        <w:rPr>
          <w:szCs w:val="24"/>
        </w:rPr>
        <w:t>__________________________________________, mano atstovaujamos organizacijos</w:t>
      </w:r>
    </w:p>
    <w:p w:rsidR="00C95D21" w:rsidRDefault="00651846">
      <w:pPr>
        <w:ind w:firstLine="1763"/>
        <w:jc w:val="both"/>
        <w:rPr>
          <w:i/>
          <w:sz w:val="20"/>
        </w:rPr>
      </w:pPr>
      <w:r>
        <w:rPr>
          <w:i/>
        </w:rPr>
        <w:t>( vadovo ar jo įgalioto asmens vardas, pavardė )</w:t>
      </w:r>
    </w:p>
    <w:p w:rsidR="00C95D21" w:rsidRDefault="00651846">
      <w:pPr>
        <w:rPr>
          <w:szCs w:val="24"/>
        </w:rPr>
      </w:pPr>
      <w:r>
        <w:rPr>
          <w:szCs w:val="24"/>
        </w:rPr>
        <w:t>________________________________________________________________  vardu įsipareigoju:</w:t>
      </w:r>
    </w:p>
    <w:p w:rsidR="00C95D21" w:rsidRDefault="00651846">
      <w:pPr>
        <w:ind w:firstLine="3735"/>
        <w:jc w:val="both"/>
        <w:rPr>
          <w:i/>
          <w:sz w:val="20"/>
        </w:rPr>
      </w:pPr>
      <w:r>
        <w:rPr>
          <w:i/>
        </w:rPr>
        <w:t>(organizacijos pavadinimas)</w:t>
      </w:r>
    </w:p>
    <w:p w:rsidR="00C95D21" w:rsidRDefault="00C95D21">
      <w:pPr>
        <w:jc w:val="both"/>
        <w:rPr>
          <w:szCs w:val="24"/>
        </w:rPr>
      </w:pPr>
    </w:p>
    <w:p w:rsidR="00C95D21" w:rsidRDefault="00C95D21">
      <w:pPr>
        <w:rPr>
          <w:sz w:val="10"/>
          <w:szCs w:val="10"/>
        </w:rPr>
      </w:pPr>
    </w:p>
    <w:p w:rsidR="00C95D21" w:rsidRDefault="00651846">
      <w:pPr>
        <w:ind w:firstLine="851"/>
        <w:jc w:val="both"/>
      </w:pPr>
      <w:r>
        <w:t>užtikrinti, ka</w:t>
      </w:r>
      <w:r>
        <w:t>d projektui įgyvendinti įsigyta elektros ir elektroninė įranga, kurios naudojimo ciklas baigėsi, ir (ar) projekto įgyvendinimo metu susidariusios elektros ir elektroninės įrangos atliekos būtų perduotos sutvarkyti vadovaujantis Lietuvos Respublikos atliekų</w:t>
      </w:r>
      <w:r>
        <w:t xml:space="preserve"> tvarkymo įstatymo </w:t>
      </w:r>
      <w:r>
        <w:rPr>
          <w:bCs/>
        </w:rPr>
        <w:t>nuostatomis</w:t>
      </w:r>
      <w:r>
        <w:t>.</w:t>
      </w:r>
    </w:p>
    <w:p w:rsidR="00C95D21" w:rsidRDefault="00C95D21">
      <w:pPr>
        <w:rPr>
          <w:sz w:val="10"/>
          <w:szCs w:val="10"/>
        </w:rPr>
      </w:pPr>
    </w:p>
    <w:p w:rsidR="00C95D21" w:rsidRDefault="00C95D21">
      <w:pPr>
        <w:ind w:firstLine="720"/>
        <w:rPr>
          <w:szCs w:val="24"/>
        </w:rPr>
      </w:pPr>
    </w:p>
    <w:tbl>
      <w:tblPr>
        <w:tblW w:w="10380" w:type="dxa"/>
        <w:tblInd w:w="-34" w:type="dxa"/>
        <w:tblLayout w:type="fixed"/>
        <w:tblLook w:val="01E0" w:firstRow="1" w:lastRow="1" w:firstColumn="1" w:lastColumn="1" w:noHBand="0" w:noVBand="0"/>
      </w:tblPr>
      <w:tblGrid>
        <w:gridCol w:w="4428"/>
        <w:gridCol w:w="2179"/>
        <w:gridCol w:w="3773"/>
      </w:tblGrid>
      <w:tr w:rsidR="00C95D21">
        <w:trPr>
          <w:trHeight w:val="186"/>
        </w:trPr>
        <w:tc>
          <w:tcPr>
            <w:tcW w:w="4429" w:type="dxa"/>
            <w:hideMark/>
          </w:tcPr>
          <w:p w:rsidR="00C95D21" w:rsidRDefault="00651846">
            <w:pPr>
              <w:rPr>
                <w:szCs w:val="24"/>
                <w:lang w:val="pl-PL"/>
              </w:rPr>
            </w:pPr>
            <w:r>
              <w:rPr>
                <w:szCs w:val="24"/>
              </w:rPr>
              <w:t>___________________________________</w:t>
            </w:r>
          </w:p>
          <w:p w:rsidR="00C95D21" w:rsidRDefault="00651846">
            <w:pPr>
              <w:spacing w:line="276" w:lineRule="auto"/>
              <w:jc w:val="center"/>
              <w:rPr>
                <w:i/>
                <w:iCs/>
                <w:szCs w:val="24"/>
                <w:lang w:val="pl-PL"/>
              </w:rPr>
            </w:pPr>
            <w:r>
              <w:rPr>
                <w:i/>
                <w:iCs/>
                <w:szCs w:val="24"/>
              </w:rPr>
              <w:t>(deklaraciją pasirašančio asmens pareigų pavadinimas)</w:t>
            </w:r>
          </w:p>
        </w:tc>
        <w:tc>
          <w:tcPr>
            <w:tcW w:w="2179" w:type="dxa"/>
            <w:hideMark/>
          </w:tcPr>
          <w:p w:rsidR="00C95D21" w:rsidRDefault="00651846">
            <w:pPr>
              <w:rPr>
                <w:szCs w:val="24"/>
                <w:lang w:val="pl-PL"/>
              </w:rPr>
            </w:pPr>
            <w:r>
              <w:rPr>
                <w:szCs w:val="24"/>
              </w:rPr>
              <w:t>________________</w:t>
            </w:r>
          </w:p>
          <w:p w:rsidR="00C95D21" w:rsidRDefault="00651846">
            <w:pPr>
              <w:spacing w:line="276" w:lineRule="auto"/>
              <w:ind w:firstLine="495"/>
              <w:rPr>
                <w:i/>
                <w:iCs/>
                <w:szCs w:val="24"/>
                <w:lang w:val="pl-PL"/>
              </w:rPr>
            </w:pPr>
            <w:r>
              <w:rPr>
                <w:i/>
                <w:iCs/>
                <w:szCs w:val="24"/>
              </w:rPr>
              <w:t>(parašas)</w:t>
            </w:r>
          </w:p>
        </w:tc>
        <w:tc>
          <w:tcPr>
            <w:tcW w:w="3774" w:type="dxa"/>
            <w:hideMark/>
          </w:tcPr>
          <w:p w:rsidR="00C95D21" w:rsidRDefault="00651846">
            <w:pPr>
              <w:rPr>
                <w:szCs w:val="24"/>
                <w:lang w:val="pl-PL"/>
              </w:rPr>
            </w:pPr>
            <w:r>
              <w:rPr>
                <w:szCs w:val="24"/>
              </w:rPr>
              <w:t>_____________________________</w:t>
            </w:r>
          </w:p>
          <w:p w:rsidR="00C95D21" w:rsidRDefault="00651846">
            <w:pPr>
              <w:spacing w:line="276" w:lineRule="auto"/>
              <w:ind w:firstLine="720"/>
              <w:rPr>
                <w:i/>
                <w:iCs/>
                <w:szCs w:val="24"/>
                <w:lang w:val="pl-PL"/>
              </w:rPr>
            </w:pPr>
            <w:r>
              <w:rPr>
                <w:i/>
                <w:iCs/>
                <w:szCs w:val="24"/>
              </w:rPr>
              <w:t>(vardas ir pavardė)</w:t>
            </w:r>
          </w:p>
        </w:tc>
      </w:tr>
    </w:tbl>
    <w:p w:rsidR="00C95D21" w:rsidRDefault="00C95D21">
      <w:pPr>
        <w:rPr>
          <w:sz w:val="16"/>
          <w:szCs w:val="16"/>
          <w:lang w:val="pl-PL" w:eastAsia="lt-LT"/>
        </w:rPr>
      </w:pPr>
    </w:p>
    <w:p w:rsidR="00C95D21" w:rsidRDefault="00651846">
      <w:pPr>
        <w:jc w:val="center"/>
        <w:rPr>
          <w:lang w:eastAsia="lt-LT"/>
        </w:rPr>
      </w:pPr>
      <w:r>
        <w:rPr>
          <w:sz w:val="16"/>
          <w:szCs w:val="16"/>
          <w:lang w:eastAsia="lt-LT"/>
        </w:rPr>
        <w:t>_____________________________</w:t>
      </w:r>
    </w:p>
    <w:sectPr w:rsidR="00C95D21">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D21" w:rsidRDefault="00651846">
      <w:pPr>
        <w:rPr>
          <w:sz w:val="22"/>
          <w:szCs w:val="22"/>
        </w:rPr>
      </w:pPr>
      <w:r>
        <w:rPr>
          <w:sz w:val="22"/>
          <w:szCs w:val="22"/>
        </w:rPr>
        <w:separator/>
      </w:r>
    </w:p>
    <w:p w:rsidR="00C95D21" w:rsidRDefault="00C95D21"/>
    <w:p w:rsidR="00C95D21" w:rsidRDefault="00C95D21"/>
  </w:endnote>
  <w:endnote w:type="continuationSeparator" w:id="0">
    <w:p w:rsidR="00C95D21" w:rsidRDefault="00651846">
      <w:pPr>
        <w:rPr>
          <w:sz w:val="22"/>
          <w:szCs w:val="22"/>
        </w:rPr>
      </w:pPr>
      <w:r>
        <w:rPr>
          <w:sz w:val="22"/>
          <w:szCs w:val="22"/>
        </w:rPr>
        <w:continuationSeparator/>
      </w:r>
    </w:p>
    <w:p w:rsidR="00C95D21" w:rsidRDefault="00C95D21"/>
    <w:p w:rsidR="00C95D21" w:rsidRDefault="00C95D21"/>
  </w:endnote>
  <w:endnote w:type="continuationNotice" w:id="1">
    <w:p w:rsidR="00C95D21" w:rsidRDefault="00C95D21">
      <w:pPr>
        <w:rPr>
          <w:sz w:val="22"/>
          <w:szCs w:val="22"/>
        </w:rPr>
      </w:pPr>
    </w:p>
    <w:p w:rsidR="00C95D21" w:rsidRDefault="00C95D21"/>
    <w:p w:rsidR="00C95D21" w:rsidRDefault="00C95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21" w:rsidRDefault="00C95D2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21" w:rsidRDefault="00C95D2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21" w:rsidRDefault="00C95D2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D21" w:rsidRDefault="00651846">
      <w:pPr>
        <w:rPr>
          <w:sz w:val="22"/>
          <w:szCs w:val="22"/>
        </w:rPr>
      </w:pPr>
      <w:r>
        <w:rPr>
          <w:sz w:val="22"/>
          <w:szCs w:val="22"/>
        </w:rPr>
        <w:separator/>
      </w:r>
    </w:p>
    <w:p w:rsidR="00C95D21" w:rsidRDefault="00C95D21"/>
    <w:p w:rsidR="00C95D21" w:rsidRDefault="00C95D21"/>
  </w:footnote>
  <w:footnote w:type="continuationSeparator" w:id="0">
    <w:p w:rsidR="00C95D21" w:rsidRDefault="00651846">
      <w:pPr>
        <w:rPr>
          <w:sz w:val="22"/>
          <w:szCs w:val="22"/>
        </w:rPr>
      </w:pPr>
      <w:r>
        <w:rPr>
          <w:sz w:val="22"/>
          <w:szCs w:val="22"/>
        </w:rPr>
        <w:continuationSeparator/>
      </w:r>
    </w:p>
    <w:p w:rsidR="00C95D21" w:rsidRDefault="00C95D21"/>
    <w:p w:rsidR="00C95D21" w:rsidRDefault="00C95D21"/>
  </w:footnote>
  <w:footnote w:type="continuationNotice" w:id="1">
    <w:p w:rsidR="00C95D21" w:rsidRDefault="00C95D21">
      <w:pPr>
        <w:rPr>
          <w:sz w:val="22"/>
          <w:szCs w:val="22"/>
        </w:rPr>
      </w:pPr>
    </w:p>
    <w:p w:rsidR="00C95D21" w:rsidRDefault="00C95D21"/>
    <w:p w:rsidR="00C95D21" w:rsidRDefault="00C95D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21" w:rsidRDefault="00C95D21">
    <w:pPr>
      <w:tabs>
        <w:tab w:val="center" w:pos="4819"/>
        <w:tab w:val="right" w:pos="9638"/>
      </w:tabs>
      <w:rPr>
        <w:sz w:val="22"/>
        <w:szCs w:val="22"/>
      </w:rPr>
    </w:pPr>
  </w:p>
  <w:p w:rsidR="00C95D21" w:rsidRDefault="00C95D21"/>
  <w:p w:rsidR="00C95D21" w:rsidRDefault="00C95D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21" w:rsidRDefault="00651846">
    <w:pPr>
      <w:tabs>
        <w:tab w:val="center" w:pos="4819"/>
        <w:tab w:val="right" w:pos="9638"/>
      </w:tabs>
      <w:jc w:val="center"/>
      <w:rPr>
        <w:sz w:val="22"/>
        <w:szCs w:val="22"/>
      </w:rPr>
    </w:pPr>
    <w:r>
      <w:rPr>
        <w:szCs w:val="22"/>
      </w:rPr>
      <w:fldChar w:fldCharType="begin"/>
    </w:r>
    <w:r>
      <w:rPr>
        <w:szCs w:val="22"/>
      </w:rPr>
      <w:instrText xml:space="preserve">PAGE   \* </w:instrText>
    </w:r>
    <w:r>
      <w:rPr>
        <w:szCs w:val="22"/>
      </w:rPr>
      <w:instrText>MERGEFORMAT</w:instrText>
    </w:r>
    <w:r>
      <w:rPr>
        <w:szCs w:val="22"/>
      </w:rPr>
      <w:fldChar w:fldCharType="separate"/>
    </w:r>
    <w:r>
      <w:rPr>
        <w:noProof/>
        <w:szCs w:val="22"/>
      </w:rPr>
      <w:t>6</w:t>
    </w:r>
    <w:r>
      <w:rPr>
        <w:szCs w:val="22"/>
      </w:rPr>
      <w:fldChar w:fldCharType="end"/>
    </w:r>
  </w:p>
  <w:p w:rsidR="00C95D21" w:rsidRDefault="00C95D21">
    <w:pPr>
      <w:tabs>
        <w:tab w:val="center" w:pos="4819"/>
        <w:tab w:val="right" w:pos="9638"/>
      </w:tabs>
      <w:jc w:val="right"/>
      <w:rPr>
        <w:sz w:val="22"/>
        <w:szCs w:val="22"/>
      </w:rPr>
    </w:pPr>
  </w:p>
  <w:p w:rsidR="00C95D21" w:rsidRDefault="00C95D21"/>
  <w:p w:rsidR="00C95D21" w:rsidRDefault="00C95D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21" w:rsidRDefault="00C95D2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651846"/>
    <w:rsid w:val="00A361B0"/>
    <w:rsid w:val="00C95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F8D25C2-7D87-48CC-9C5C-223EBF2D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51408171">
      <w:bodyDiv w:val="1"/>
      <w:marLeft w:val="0"/>
      <w:marRight w:val="0"/>
      <w:marTop w:val="0"/>
      <w:marBottom w:val="0"/>
      <w:divBdr>
        <w:top w:val="none" w:sz="0" w:space="0" w:color="auto"/>
        <w:left w:val="none" w:sz="0" w:space="0" w:color="auto"/>
        <w:bottom w:val="none" w:sz="0" w:space="0" w:color="auto"/>
        <w:right w:val="none" w:sz="0" w:space="0" w:color="auto"/>
      </w:divBdr>
    </w:div>
    <w:div w:id="318382713">
      <w:bodyDiv w:val="1"/>
      <w:marLeft w:val="0"/>
      <w:marRight w:val="0"/>
      <w:marTop w:val="0"/>
      <w:marBottom w:val="0"/>
      <w:divBdr>
        <w:top w:val="none" w:sz="0" w:space="0" w:color="auto"/>
        <w:left w:val="none" w:sz="0" w:space="0" w:color="auto"/>
        <w:bottom w:val="none" w:sz="0" w:space="0" w:color="auto"/>
        <w:right w:val="none" w:sz="0" w:space="0" w:color="auto"/>
      </w:divBdr>
    </w:div>
    <w:div w:id="320432769">
      <w:bodyDiv w:val="1"/>
      <w:marLeft w:val="0"/>
      <w:marRight w:val="0"/>
      <w:marTop w:val="0"/>
      <w:marBottom w:val="0"/>
      <w:divBdr>
        <w:top w:val="none" w:sz="0" w:space="0" w:color="auto"/>
        <w:left w:val="none" w:sz="0" w:space="0" w:color="auto"/>
        <w:bottom w:val="none" w:sz="0" w:space="0" w:color="auto"/>
        <w:right w:val="none" w:sz="0" w:space="0" w:color="auto"/>
      </w:divBdr>
    </w:div>
    <w:div w:id="723337466">
      <w:bodyDiv w:val="1"/>
      <w:marLeft w:val="0"/>
      <w:marRight w:val="0"/>
      <w:marTop w:val="0"/>
      <w:marBottom w:val="0"/>
      <w:divBdr>
        <w:top w:val="none" w:sz="0" w:space="0" w:color="auto"/>
        <w:left w:val="none" w:sz="0" w:space="0" w:color="auto"/>
        <w:bottom w:val="none" w:sz="0" w:space="0" w:color="auto"/>
        <w:right w:val="none" w:sz="0" w:space="0" w:color="auto"/>
      </w:divBdr>
    </w:div>
    <w:div w:id="78651121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3641230">
      <w:bodyDiv w:val="1"/>
      <w:marLeft w:val="0"/>
      <w:marRight w:val="0"/>
      <w:marTop w:val="0"/>
      <w:marBottom w:val="0"/>
      <w:divBdr>
        <w:top w:val="none" w:sz="0" w:space="0" w:color="auto"/>
        <w:left w:val="none" w:sz="0" w:space="0" w:color="auto"/>
        <w:bottom w:val="none" w:sz="0" w:space="0" w:color="auto"/>
        <w:right w:val="none" w:sz="0" w:space="0" w:color="auto"/>
      </w:divBdr>
    </w:div>
    <w:div w:id="1275552587">
      <w:bodyDiv w:val="1"/>
      <w:marLeft w:val="0"/>
      <w:marRight w:val="0"/>
      <w:marTop w:val="0"/>
      <w:marBottom w:val="0"/>
      <w:divBdr>
        <w:top w:val="none" w:sz="0" w:space="0" w:color="auto"/>
        <w:left w:val="none" w:sz="0" w:space="0" w:color="auto"/>
        <w:bottom w:val="none" w:sz="0" w:space="0" w:color="auto"/>
        <w:right w:val="none" w:sz="0" w:space="0" w:color="auto"/>
      </w:divBdr>
    </w:div>
    <w:div w:id="132686400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8660969">
      <w:bodyDiv w:val="1"/>
      <w:marLeft w:val="0"/>
      <w:marRight w:val="0"/>
      <w:marTop w:val="0"/>
      <w:marBottom w:val="0"/>
      <w:divBdr>
        <w:top w:val="none" w:sz="0" w:space="0" w:color="auto"/>
        <w:left w:val="none" w:sz="0" w:space="0" w:color="auto"/>
        <w:bottom w:val="none" w:sz="0" w:space="0" w:color="auto"/>
        <w:right w:val="none" w:sz="0" w:space="0" w:color="auto"/>
      </w:divBdr>
    </w:div>
    <w:div w:id="20495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styles" Target="styles.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_rels/item7.xml.rels><?xml version="1.0" encoding="UTF-8"?>

<Relationships xmlns="http://schemas.openxmlformats.org/package/2006/relationships">
  <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10EA1-E35F-4C43-9F00-2AF96379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6.xml><?xml version="1.0" encoding="utf-8"?>
<ds:datastoreItem xmlns:ds="http://schemas.openxmlformats.org/officeDocument/2006/customXml" ds:itemID="{7B5CDDFA-C5F0-4B8E-8733-4A6DF91D875A}">
  <ds:schemaRefs>
    <ds:schemaRef ds:uri="http://schemas.openxmlformats.org/officeDocument/2006/bibliography"/>
  </ds:schemaRefs>
</ds:datastoreItem>
</file>

<file path=customXml/itemProps7.xml><?xml version="1.0" encoding="utf-8"?>
<ds:datastoreItem xmlns:ds="http://schemas.openxmlformats.org/officeDocument/2006/customXml" ds:itemID="{65DA01BE-1D24-40A0-8EC9-3D58355B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12798</Words>
  <Characters>7296</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20054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2024-04-16T06:57:00Z</dcterms:created>
  <dc:creator>Virginija Levinskienė</dc:creator>
  <lastModifiedBy>TAMALIŪNIENĖ Vilija</lastModifiedBy>
  <dcterms:modified xsi:type="dcterms:W3CDTF">2024-04-16T07:40:00Z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DmsPermissionsFlags">
    <vt:lpwstr>,SECTRUE,</vt:lpwstr>
  </property>
  <property fmtid="{D5CDD505-2E9C-101B-9397-08002B2CF9AE}" pid="4" name="DmsPermissionsDivisions">
    <vt:lpwstr>638;#Urbanistinės plėtros projektų skyrius|1cbfa67d-003e-4b6e-82ba-1215416a7de7;#62;#Finansų skyrius|7d9d544b-d496-4126-a894-fd0e68da2d8e;#3308;#Procesų valdymo skyrius|1d2453fc-c175-46b4-b9fe-6151c1a059d8</vt:lpwstr>
  </property>
  <property fmtid="{D5CDD505-2E9C-101B-9397-08002B2CF9AE}" pid="5" name="DmsPermissionsUsers">
    <vt:lpwstr>157;#Mantas Barakauskas;#143;#Rūta Kizienė;#166;#Margarita Kairienė;#1089;#Rasa Mockutė;#1119;#Mantas Bernotas;#142;#Vygandas Alekna;#1436;#Eglė Kelminskė</vt:lpwstr>
  </property>
  <property fmtid="{D5CDD505-2E9C-101B-9397-08002B2CF9AE}" pid="6" name="TaxCatchAll">
    <vt:lpwstr/>
  </property>
  <property fmtid="{D5CDD505-2E9C-101B-9397-08002B2CF9AE}" pid="7" name="DmsPermissionsConfid">
    <vt:bool>false</vt:bool>
  </property>
  <property fmtid="{D5CDD505-2E9C-101B-9397-08002B2CF9AE}" pid="8" name="GrammarlyDocumentId">
    <vt:lpwstr>6d2fa9a07454e64422596625d4f1a905fd7a17171f146990263d02c034b7181e</vt:lpwstr>
  </property>
  <property fmtid="{D5CDD505-2E9C-101B-9397-08002B2CF9AE}" pid="9" name="DmsDocPrepDocSendRegReal">
    <vt:bool>false</vt:bool>
  </property>
  <property fmtid="{D5CDD505-2E9C-101B-9397-08002B2CF9AE}" pid="10" name="DmsWaitingForSign">
    <vt:bool>true</vt:bool>
  </property>
</Properties>
</file>