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EF77F" w14:textId="77777777" w:rsidR="00E55C1F" w:rsidRDefault="00E55C1F">
      <w:pPr>
        <w:tabs>
          <w:tab w:val="center" w:pos="4819"/>
          <w:tab w:val="right" w:pos="9638"/>
        </w:tabs>
      </w:pPr>
    </w:p>
    <w:p w14:paraId="0319B1F6" w14:textId="77777777" w:rsidR="008E1F26" w:rsidRDefault="008E1F26" w:rsidP="008E1F26">
      <w:pPr>
        <w:suppressAutoHyphens/>
        <w:ind w:firstLine="8505"/>
        <w:textAlignment w:val="baseline"/>
        <w:rPr>
          <w:color w:val="000000"/>
          <w:szCs w:val="24"/>
          <w:lang w:eastAsia="en-GB"/>
        </w:rPr>
      </w:pPr>
      <w:r>
        <w:rPr>
          <w:color w:val="000000"/>
          <w:szCs w:val="24"/>
          <w:lang w:eastAsia="en-GB"/>
        </w:rPr>
        <w:t xml:space="preserve">2022–2030 metų plėtros programos valdytojos </w:t>
      </w:r>
    </w:p>
    <w:p w14:paraId="0BCCD05C" w14:textId="77777777" w:rsidR="008E1F26" w:rsidRDefault="008E1F26" w:rsidP="008E1F26">
      <w:pPr>
        <w:suppressAutoHyphens/>
        <w:ind w:firstLine="8505"/>
        <w:textAlignment w:val="baseline"/>
        <w:rPr>
          <w:color w:val="000000"/>
          <w:szCs w:val="24"/>
          <w:lang w:eastAsia="en-GB"/>
        </w:rPr>
      </w:pPr>
      <w:r>
        <w:rPr>
          <w:color w:val="000000"/>
          <w:szCs w:val="24"/>
          <w:lang w:eastAsia="en-GB"/>
        </w:rPr>
        <w:t xml:space="preserve">Lietuvos Respublikos susisiekimo ministerijos susisiekimo </w:t>
      </w:r>
    </w:p>
    <w:p w14:paraId="4B62106C" w14:textId="77777777" w:rsidR="008E1F26" w:rsidRDefault="008E1F26" w:rsidP="008E1F26">
      <w:pPr>
        <w:suppressAutoHyphens/>
        <w:ind w:firstLine="8505"/>
        <w:textAlignment w:val="baseline"/>
        <w:rPr>
          <w:color w:val="000000"/>
          <w:szCs w:val="24"/>
          <w:lang w:eastAsia="en-GB"/>
        </w:rPr>
      </w:pPr>
      <w:r>
        <w:rPr>
          <w:color w:val="000000"/>
          <w:szCs w:val="24"/>
          <w:lang w:eastAsia="en-GB"/>
        </w:rPr>
        <w:t xml:space="preserve">plėtros programos pažangos priemonės </w:t>
      </w:r>
    </w:p>
    <w:p w14:paraId="0C1CD625" w14:textId="77777777" w:rsidR="008E1F26" w:rsidRDefault="008E1F26" w:rsidP="008E1F26">
      <w:pPr>
        <w:suppressAutoHyphens/>
        <w:ind w:firstLine="8505"/>
        <w:textAlignment w:val="baseline"/>
        <w:rPr>
          <w:color w:val="000000"/>
          <w:szCs w:val="24"/>
          <w:lang w:eastAsia="en-GB"/>
        </w:rPr>
      </w:pPr>
      <w:r>
        <w:rPr>
          <w:color w:val="000000"/>
          <w:szCs w:val="24"/>
          <w:lang w:eastAsia="en-GB"/>
        </w:rPr>
        <w:t xml:space="preserve">Nr. 10-001-06-01-01 „Skatinti alternatyviųjų degalų </w:t>
      </w:r>
    </w:p>
    <w:p w14:paraId="4950089B" w14:textId="77777777" w:rsidR="008E1F26" w:rsidRDefault="008E1F26" w:rsidP="008E1F26">
      <w:pPr>
        <w:suppressAutoHyphens/>
        <w:ind w:firstLine="8505"/>
        <w:textAlignment w:val="baseline"/>
        <w:rPr>
          <w:color w:val="000000"/>
          <w:szCs w:val="24"/>
          <w:lang w:eastAsia="en-GB"/>
        </w:rPr>
      </w:pPr>
      <w:r>
        <w:rPr>
          <w:color w:val="000000"/>
          <w:szCs w:val="24"/>
          <w:lang w:eastAsia="en-GB"/>
        </w:rPr>
        <w:t xml:space="preserve">naudojimą transporto sektoriuje“ </w:t>
      </w:r>
    </w:p>
    <w:p w14:paraId="1E6700DF" w14:textId="77777777" w:rsidR="00E55C1F" w:rsidRDefault="008E1F26" w:rsidP="008E1F26">
      <w:pPr>
        <w:suppressAutoHyphens/>
        <w:ind w:firstLine="8505"/>
        <w:textAlignment w:val="baseline"/>
        <w:rPr>
          <w:szCs w:val="24"/>
        </w:rPr>
      </w:pPr>
      <w:r>
        <w:rPr>
          <w:color w:val="000000"/>
          <w:szCs w:val="24"/>
          <w:lang w:eastAsia="en-GB"/>
        </w:rPr>
        <w:t xml:space="preserve">aprašo </w:t>
      </w:r>
      <w:r>
        <w:rPr>
          <w:szCs w:val="24"/>
        </w:rPr>
        <w:t>12 priedas</w:t>
      </w:r>
    </w:p>
    <w:p w14:paraId="70992754" w14:textId="77777777" w:rsidR="00E55C1F" w:rsidRDefault="00E55C1F">
      <w:pPr>
        <w:jc w:val="center"/>
        <w:rPr>
          <w:iCs/>
          <w:szCs w:val="24"/>
        </w:rPr>
      </w:pPr>
    </w:p>
    <w:p w14:paraId="3E86A3D2" w14:textId="77777777" w:rsidR="00E55C1F" w:rsidRDefault="008E1F26">
      <w:pPr>
        <w:suppressAutoHyphens/>
        <w:jc w:val="center"/>
        <w:textAlignment w:val="baseline"/>
        <w:rPr>
          <w:lang w:eastAsia="lt-LT"/>
        </w:rPr>
      </w:pPr>
      <w:r>
        <w:rPr>
          <w:b/>
          <w:bCs/>
          <w:szCs w:val="24"/>
          <w:lang w:eastAsia="lt-LT"/>
        </w:rPr>
        <w:t xml:space="preserve">2022–2030 METŲ PLĖTROS PROGRAMOS </w:t>
      </w:r>
      <w:r>
        <w:rPr>
          <w:b/>
          <w:bCs/>
        </w:rPr>
        <w:t>VALDYTOJOS LIETUVOS RESPUBLIKOS SUSISIEKIMO MINISTERIJOS SUSISIEKIMO PLĖTROS PROGRAMOS</w:t>
      </w:r>
      <w:r>
        <w:t xml:space="preserve"> </w:t>
      </w:r>
      <w:r>
        <w:rPr>
          <w:b/>
          <w:bCs/>
          <w:szCs w:val="24"/>
          <w:lang w:eastAsia="lt-LT"/>
        </w:rPr>
        <w:t>PAŽANGOS PRIEMONĖS NR. 10-001-06-01-01 „SKATINTI ALTERNATYVIŲJŲ DEGALŲ NAUDOJIMĄ TRANSPORTO SEKTORIUJE“ VEIKLOS „</w:t>
      </w:r>
      <w:r>
        <w:rPr>
          <w:b/>
          <w:bCs/>
          <w:szCs w:val="24"/>
        </w:rPr>
        <w:t>MIESTO IR PRIEMIESTINIO VIEŠOJO TRANSPORTO PRIEMONIŲ PARKO ATNAUJINIMAS, SKATINANT NAUDOTI VISAI NETARŠIAS TRANSPORTO PRIEMONES</w:t>
      </w:r>
      <w:r>
        <w:rPr>
          <w:b/>
          <w:bCs/>
          <w:szCs w:val="24"/>
          <w:lang w:eastAsia="lt-LT"/>
        </w:rPr>
        <w:t>“</w:t>
      </w:r>
    </w:p>
    <w:p w14:paraId="4E47951E" w14:textId="77777777" w:rsidR="00E55C1F" w:rsidRDefault="008E1F26">
      <w:pPr>
        <w:jc w:val="center"/>
        <w:rPr>
          <w:szCs w:val="24"/>
        </w:rPr>
      </w:pPr>
      <w:r>
        <w:rPr>
          <w:b/>
          <w:bCs/>
          <w:szCs w:val="24"/>
        </w:rPr>
        <w:t>PROJEKTŲ FINANSAVIMO SĄLYGŲ APRAŠAS NR. 2</w:t>
      </w:r>
    </w:p>
    <w:p w14:paraId="2B3073F8" w14:textId="77777777" w:rsidR="00E55C1F" w:rsidRDefault="00E55C1F">
      <w:pPr>
        <w:jc w:val="center"/>
        <w:rPr>
          <w:i/>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276"/>
        <w:gridCol w:w="1134"/>
        <w:gridCol w:w="1134"/>
        <w:gridCol w:w="1417"/>
        <w:gridCol w:w="1276"/>
        <w:gridCol w:w="992"/>
        <w:gridCol w:w="1330"/>
        <w:gridCol w:w="1051"/>
        <w:gridCol w:w="1132"/>
        <w:gridCol w:w="859"/>
        <w:gridCol w:w="1149"/>
      </w:tblGrid>
      <w:tr w:rsidR="00E55C1F" w14:paraId="6299D1AF" w14:textId="77777777">
        <w:tc>
          <w:tcPr>
            <w:tcW w:w="15155" w:type="dxa"/>
            <w:gridSpan w:val="13"/>
            <w:vAlign w:val="center"/>
          </w:tcPr>
          <w:p w14:paraId="7CDDC349" w14:textId="77777777" w:rsidR="00E55C1F" w:rsidRDefault="008E1F26">
            <w:pPr>
              <w:jc w:val="center"/>
              <w:rPr>
                <w:b/>
                <w:sz w:val="22"/>
                <w:szCs w:val="22"/>
              </w:rPr>
            </w:pPr>
            <w:r>
              <w:rPr>
                <w:b/>
                <w:sz w:val="22"/>
                <w:szCs w:val="22"/>
              </w:rPr>
              <w:t>VEIKLOS AR POVEIKLĖS, KURIOMS NUSTATOMOS PROJEKTŲ FINANSAVIMO SĄLYGOS</w:t>
            </w:r>
          </w:p>
        </w:tc>
      </w:tr>
      <w:tr w:rsidR="00E55C1F" w14:paraId="304D4D2A" w14:textId="77777777">
        <w:tc>
          <w:tcPr>
            <w:tcW w:w="1271" w:type="dxa"/>
            <w:vAlign w:val="center"/>
          </w:tcPr>
          <w:p w14:paraId="420E24AE" w14:textId="77777777" w:rsidR="00E55C1F" w:rsidRDefault="008E1F26">
            <w:pPr>
              <w:jc w:val="center"/>
              <w:rPr>
                <w:b/>
                <w:sz w:val="20"/>
              </w:rPr>
            </w:pPr>
            <w:r>
              <w:rPr>
                <w:b/>
                <w:sz w:val="20"/>
              </w:rPr>
              <w:t>Veiklos ar poveiklės pavadini-mas</w:t>
            </w:r>
          </w:p>
        </w:tc>
        <w:tc>
          <w:tcPr>
            <w:tcW w:w="1134" w:type="dxa"/>
            <w:vAlign w:val="center"/>
          </w:tcPr>
          <w:p w14:paraId="33A1F596" w14:textId="77777777" w:rsidR="00E55C1F" w:rsidRDefault="008E1F26">
            <w:pPr>
              <w:jc w:val="center"/>
              <w:rPr>
                <w:b/>
                <w:sz w:val="20"/>
              </w:rPr>
            </w:pPr>
            <w:r>
              <w:rPr>
                <w:b/>
                <w:sz w:val="20"/>
              </w:rPr>
              <w:t>Finansa-vimo šaltinis</w:t>
            </w:r>
          </w:p>
        </w:tc>
        <w:tc>
          <w:tcPr>
            <w:tcW w:w="1276" w:type="dxa"/>
            <w:vAlign w:val="center"/>
          </w:tcPr>
          <w:p w14:paraId="6757552E" w14:textId="77777777" w:rsidR="00E55C1F" w:rsidRDefault="008E1F26">
            <w:pPr>
              <w:jc w:val="center"/>
              <w:rPr>
                <w:b/>
                <w:sz w:val="20"/>
              </w:rPr>
            </w:pPr>
            <w:r>
              <w:rPr>
                <w:b/>
                <w:bCs/>
                <w:sz w:val="20"/>
              </w:rPr>
              <w:t>Prioritetas ar komponen-tas</w:t>
            </w:r>
          </w:p>
        </w:tc>
        <w:tc>
          <w:tcPr>
            <w:tcW w:w="1134" w:type="dxa"/>
            <w:vAlign w:val="center"/>
          </w:tcPr>
          <w:p w14:paraId="1C6BAFD0" w14:textId="77777777" w:rsidR="00E55C1F" w:rsidRDefault="008E1F26">
            <w:pPr>
              <w:jc w:val="center"/>
              <w:rPr>
                <w:b/>
                <w:sz w:val="20"/>
              </w:rPr>
            </w:pPr>
            <w:r>
              <w:rPr>
                <w:b/>
                <w:bCs/>
                <w:sz w:val="20"/>
              </w:rPr>
              <w:t>Uždavi-nys ar priemonė</w:t>
            </w:r>
          </w:p>
        </w:tc>
        <w:tc>
          <w:tcPr>
            <w:tcW w:w="1134" w:type="dxa"/>
            <w:vAlign w:val="center"/>
          </w:tcPr>
          <w:p w14:paraId="6A4479D4" w14:textId="77777777" w:rsidR="00E55C1F" w:rsidRDefault="008E1F26">
            <w:pPr>
              <w:jc w:val="center"/>
              <w:rPr>
                <w:b/>
                <w:sz w:val="20"/>
              </w:rPr>
            </w:pPr>
            <w:r>
              <w:rPr>
                <w:b/>
                <w:bCs/>
                <w:sz w:val="20"/>
              </w:rPr>
              <w:t>Veikla ar paprie-monė</w:t>
            </w:r>
          </w:p>
        </w:tc>
        <w:tc>
          <w:tcPr>
            <w:tcW w:w="1417" w:type="dxa"/>
            <w:vAlign w:val="center"/>
          </w:tcPr>
          <w:p w14:paraId="6002ADDA" w14:textId="77777777" w:rsidR="00E55C1F" w:rsidRDefault="008E1F26">
            <w:pPr>
              <w:jc w:val="center"/>
              <w:rPr>
                <w:b/>
                <w:sz w:val="20"/>
              </w:rPr>
            </w:pPr>
            <w:r>
              <w:rPr>
                <w:b/>
                <w:sz w:val="20"/>
              </w:rPr>
              <w:t>Intervencinės priemonės kodas</w:t>
            </w:r>
          </w:p>
        </w:tc>
        <w:tc>
          <w:tcPr>
            <w:tcW w:w="1276" w:type="dxa"/>
            <w:vAlign w:val="center"/>
          </w:tcPr>
          <w:p w14:paraId="61D47D5A" w14:textId="77777777" w:rsidR="00E55C1F" w:rsidRDefault="008E1F26">
            <w:pPr>
              <w:jc w:val="center"/>
              <w:rPr>
                <w:b/>
                <w:bCs/>
                <w:sz w:val="20"/>
              </w:rPr>
            </w:pPr>
            <w:r>
              <w:rPr>
                <w:b/>
                <w:sz w:val="20"/>
              </w:rPr>
              <w:t>Regionas, kuriam priskiriama veikla ar poveiklė</w:t>
            </w:r>
          </w:p>
        </w:tc>
        <w:tc>
          <w:tcPr>
            <w:tcW w:w="992" w:type="dxa"/>
            <w:vAlign w:val="center"/>
          </w:tcPr>
          <w:p w14:paraId="2FD9DAE2" w14:textId="77777777" w:rsidR="00E55C1F" w:rsidRDefault="008E1F26">
            <w:pPr>
              <w:jc w:val="center"/>
              <w:rPr>
                <w:b/>
                <w:sz w:val="20"/>
              </w:rPr>
            </w:pPr>
            <w:r>
              <w:rPr>
                <w:b/>
                <w:bCs/>
                <w:sz w:val="20"/>
              </w:rPr>
              <w:t>Paramos formos kodas</w:t>
            </w:r>
          </w:p>
        </w:tc>
        <w:tc>
          <w:tcPr>
            <w:tcW w:w="1330" w:type="dxa"/>
            <w:vAlign w:val="center"/>
          </w:tcPr>
          <w:p w14:paraId="53AEED3D" w14:textId="77777777" w:rsidR="00E55C1F" w:rsidRDefault="008E1F26">
            <w:pPr>
              <w:jc w:val="center"/>
              <w:rPr>
                <w:b/>
                <w:sz w:val="20"/>
              </w:rPr>
            </w:pPr>
            <w:r>
              <w:rPr>
                <w:b/>
                <w:bCs/>
                <w:sz w:val="20"/>
              </w:rPr>
              <w:t>Pagrindinės teritorinės srities kodas (-ai)</w:t>
            </w:r>
          </w:p>
        </w:tc>
        <w:tc>
          <w:tcPr>
            <w:tcW w:w="1051" w:type="dxa"/>
            <w:vAlign w:val="center"/>
          </w:tcPr>
          <w:p w14:paraId="78D00E87" w14:textId="77777777" w:rsidR="00E55C1F" w:rsidRDefault="008E1F26">
            <w:pPr>
              <w:jc w:val="center"/>
              <w:rPr>
                <w:b/>
                <w:bCs/>
                <w:sz w:val="20"/>
              </w:rPr>
            </w:pPr>
            <w:r>
              <w:rPr>
                <w:b/>
                <w:bCs/>
                <w:sz w:val="20"/>
              </w:rPr>
              <w:t xml:space="preserve">Ekono-minės veiklos kodas </w:t>
            </w:r>
          </w:p>
          <w:p w14:paraId="60CA5B49" w14:textId="77777777" w:rsidR="00E55C1F" w:rsidRDefault="008E1F26">
            <w:pPr>
              <w:jc w:val="center"/>
              <w:rPr>
                <w:b/>
                <w:sz w:val="20"/>
              </w:rPr>
            </w:pPr>
            <w:r>
              <w:rPr>
                <w:b/>
                <w:bCs/>
                <w:sz w:val="20"/>
              </w:rPr>
              <w:t>(-ai)</w:t>
            </w:r>
          </w:p>
        </w:tc>
        <w:tc>
          <w:tcPr>
            <w:tcW w:w="1132" w:type="dxa"/>
            <w:vAlign w:val="center"/>
          </w:tcPr>
          <w:p w14:paraId="4E1CDE4E" w14:textId="77777777" w:rsidR="00E55C1F" w:rsidRDefault="008E1F26">
            <w:pPr>
              <w:jc w:val="center"/>
              <w:rPr>
                <w:b/>
                <w:bCs/>
                <w:sz w:val="20"/>
              </w:rPr>
            </w:pPr>
            <w:r>
              <w:rPr>
                <w:b/>
                <w:bCs/>
                <w:sz w:val="20"/>
              </w:rPr>
              <w:t>„Europos socialinio fondo +“ (toliau – ESF+) antrinių temų kodai</w:t>
            </w:r>
          </w:p>
        </w:tc>
        <w:tc>
          <w:tcPr>
            <w:tcW w:w="859" w:type="dxa"/>
            <w:vAlign w:val="center"/>
          </w:tcPr>
          <w:p w14:paraId="4489278F" w14:textId="77777777" w:rsidR="00E55C1F" w:rsidRDefault="008E1F26">
            <w:pPr>
              <w:jc w:val="center"/>
              <w:rPr>
                <w:b/>
                <w:bCs/>
                <w:sz w:val="20"/>
              </w:rPr>
            </w:pPr>
            <w:r>
              <w:rPr>
                <w:b/>
                <w:bCs/>
                <w:sz w:val="20"/>
              </w:rPr>
              <w:t>Lyčių lygybės mat-mens kodas</w:t>
            </w:r>
          </w:p>
        </w:tc>
        <w:tc>
          <w:tcPr>
            <w:tcW w:w="1149" w:type="dxa"/>
            <w:vAlign w:val="center"/>
          </w:tcPr>
          <w:p w14:paraId="5CBF6EE4" w14:textId="77777777" w:rsidR="00E55C1F" w:rsidRDefault="008E1F26">
            <w:pPr>
              <w:jc w:val="center"/>
              <w:rPr>
                <w:b/>
                <w:sz w:val="20"/>
              </w:rPr>
            </w:pPr>
            <w:r>
              <w:rPr>
                <w:b/>
                <w:sz w:val="20"/>
              </w:rPr>
              <w:t>Nepanau-dotos Ekonomi-kos gaivinimo ir atsparumo didinimo priemonės lėšos</w:t>
            </w:r>
          </w:p>
          <w:p w14:paraId="370E07C8" w14:textId="77777777" w:rsidR="00E55C1F" w:rsidRDefault="008E1F26">
            <w:pPr>
              <w:jc w:val="center"/>
              <w:rPr>
                <w:b/>
                <w:bCs/>
                <w:sz w:val="20"/>
              </w:rPr>
            </w:pPr>
            <w:r>
              <w:rPr>
                <w:b/>
                <w:sz w:val="20"/>
              </w:rPr>
              <w:t>(Taip / Ne)</w:t>
            </w:r>
          </w:p>
        </w:tc>
      </w:tr>
      <w:tr w:rsidR="00E55C1F" w14:paraId="205DFD02" w14:textId="77777777">
        <w:trPr>
          <w:trHeight w:val="278"/>
        </w:trPr>
        <w:tc>
          <w:tcPr>
            <w:tcW w:w="1271" w:type="dxa"/>
            <w:tcMar>
              <w:left w:w="28" w:type="dxa"/>
              <w:right w:w="28" w:type="dxa"/>
            </w:tcMar>
          </w:tcPr>
          <w:p w14:paraId="2095FF01" w14:textId="77777777" w:rsidR="00E55C1F" w:rsidRDefault="008E1F26">
            <w:pPr>
              <w:ind w:firstLine="48"/>
              <w:jc w:val="center"/>
              <w:rPr>
                <w:i/>
                <w:sz w:val="20"/>
              </w:rPr>
            </w:pPr>
            <w:r>
              <w:rPr>
                <w:sz w:val="20"/>
              </w:rPr>
              <w:t>3. Miesto ir priemiestinio viešojo transporto priemonių parko atnaujinimas, skatinant naudoti visai netaršias transporto priemones</w:t>
            </w:r>
          </w:p>
        </w:tc>
        <w:tc>
          <w:tcPr>
            <w:tcW w:w="1134" w:type="dxa"/>
            <w:tcMar>
              <w:left w:w="28" w:type="dxa"/>
              <w:right w:w="28" w:type="dxa"/>
            </w:tcMar>
          </w:tcPr>
          <w:p w14:paraId="35648C6D" w14:textId="77777777" w:rsidR="00E55C1F" w:rsidRDefault="008E1F26">
            <w:pPr>
              <w:jc w:val="center"/>
              <w:rPr>
                <w:b/>
                <w:i/>
                <w:sz w:val="20"/>
              </w:rPr>
            </w:pPr>
            <w:r>
              <w:rPr>
                <w:sz w:val="20"/>
              </w:rPr>
              <w:t xml:space="preserve">Ekonomikos gaivinimo ir atsparumo didinimo plano „Naujos kartos Lietuva“ (toliau – </w:t>
            </w:r>
            <w:r>
              <w:rPr>
                <w:color w:val="242424"/>
                <w:sz w:val="20"/>
              </w:rPr>
              <w:t>EGADP) lėšos</w:t>
            </w:r>
          </w:p>
        </w:tc>
        <w:tc>
          <w:tcPr>
            <w:tcW w:w="1276" w:type="dxa"/>
            <w:tcMar>
              <w:left w:w="28" w:type="dxa"/>
              <w:right w:w="28" w:type="dxa"/>
            </w:tcMar>
          </w:tcPr>
          <w:p w14:paraId="6D6BFAE0" w14:textId="77777777" w:rsidR="00E55C1F" w:rsidRDefault="008E1F26">
            <w:pPr>
              <w:jc w:val="center"/>
              <w:rPr>
                <w:i/>
                <w:sz w:val="20"/>
              </w:rPr>
            </w:pPr>
            <w:r>
              <w:rPr>
                <w:sz w:val="20"/>
              </w:rPr>
              <w:t>B.2</w:t>
            </w:r>
          </w:p>
        </w:tc>
        <w:tc>
          <w:tcPr>
            <w:tcW w:w="1134" w:type="dxa"/>
            <w:tcMar>
              <w:left w:w="28" w:type="dxa"/>
              <w:right w:w="28" w:type="dxa"/>
            </w:tcMar>
          </w:tcPr>
          <w:p w14:paraId="628455F0" w14:textId="77777777" w:rsidR="00E55C1F" w:rsidRDefault="008E1F26">
            <w:pPr>
              <w:jc w:val="center"/>
              <w:rPr>
                <w:sz w:val="20"/>
              </w:rPr>
            </w:pPr>
            <w:r>
              <w:rPr>
                <w:iCs/>
                <w:sz w:val="20"/>
              </w:rPr>
              <w:t>B.1.2</w:t>
            </w:r>
          </w:p>
        </w:tc>
        <w:tc>
          <w:tcPr>
            <w:tcW w:w="1134" w:type="dxa"/>
            <w:tcMar>
              <w:left w:w="28" w:type="dxa"/>
              <w:right w:w="28" w:type="dxa"/>
            </w:tcMar>
          </w:tcPr>
          <w:p w14:paraId="09E1CE0E" w14:textId="77777777" w:rsidR="00E55C1F" w:rsidRDefault="008E1F26">
            <w:pPr>
              <w:jc w:val="center"/>
              <w:rPr>
                <w:i/>
                <w:sz w:val="20"/>
              </w:rPr>
            </w:pPr>
            <w:r>
              <w:rPr>
                <w:iCs/>
                <w:sz w:val="20"/>
              </w:rPr>
              <w:t>B.1.2.2</w:t>
            </w:r>
          </w:p>
        </w:tc>
        <w:tc>
          <w:tcPr>
            <w:tcW w:w="1417" w:type="dxa"/>
            <w:tcMar>
              <w:left w:w="28" w:type="dxa"/>
              <w:right w:w="28" w:type="dxa"/>
            </w:tcMar>
          </w:tcPr>
          <w:p w14:paraId="36AA97D9" w14:textId="77777777" w:rsidR="00E55C1F" w:rsidRDefault="008E1F26">
            <w:pPr>
              <w:jc w:val="center"/>
              <w:rPr>
                <w:sz w:val="20"/>
              </w:rPr>
            </w:pPr>
            <w:r>
              <w:rPr>
                <w:sz w:val="20"/>
              </w:rPr>
              <w:t>074</w:t>
            </w:r>
          </w:p>
          <w:p w14:paraId="4990327A" w14:textId="77777777" w:rsidR="00E55C1F" w:rsidRDefault="008E1F26">
            <w:pPr>
              <w:jc w:val="center"/>
              <w:rPr>
                <w:i/>
                <w:sz w:val="20"/>
              </w:rPr>
            </w:pPr>
            <w:r>
              <w:rPr>
                <w:sz w:val="20"/>
              </w:rPr>
              <w:t>077</w:t>
            </w:r>
          </w:p>
        </w:tc>
        <w:tc>
          <w:tcPr>
            <w:tcW w:w="1276" w:type="dxa"/>
            <w:tcMar>
              <w:left w:w="28" w:type="dxa"/>
              <w:right w:w="28" w:type="dxa"/>
            </w:tcMar>
          </w:tcPr>
          <w:p w14:paraId="3BED5992" w14:textId="77777777" w:rsidR="00E55C1F" w:rsidRDefault="008E1F26">
            <w:pPr>
              <w:jc w:val="center"/>
              <w:rPr>
                <w:i/>
                <w:sz w:val="20"/>
              </w:rPr>
            </w:pPr>
            <w:r>
              <w:rPr>
                <w:iCs/>
                <w:sz w:val="20"/>
              </w:rPr>
              <w:t>–</w:t>
            </w:r>
          </w:p>
        </w:tc>
        <w:tc>
          <w:tcPr>
            <w:tcW w:w="992" w:type="dxa"/>
            <w:tcMar>
              <w:left w:w="28" w:type="dxa"/>
              <w:right w:w="28" w:type="dxa"/>
            </w:tcMar>
          </w:tcPr>
          <w:p w14:paraId="1B921B6B" w14:textId="77777777" w:rsidR="00E55C1F" w:rsidRDefault="008E1F26">
            <w:pPr>
              <w:jc w:val="center"/>
              <w:rPr>
                <w:i/>
                <w:sz w:val="20"/>
              </w:rPr>
            </w:pPr>
            <w:r>
              <w:rPr>
                <w:iCs/>
                <w:sz w:val="20"/>
              </w:rPr>
              <w:t>–</w:t>
            </w:r>
          </w:p>
        </w:tc>
        <w:tc>
          <w:tcPr>
            <w:tcW w:w="1330" w:type="dxa"/>
            <w:tcMar>
              <w:left w:w="28" w:type="dxa"/>
              <w:right w:w="28" w:type="dxa"/>
            </w:tcMar>
          </w:tcPr>
          <w:p w14:paraId="4F32A87E" w14:textId="77777777" w:rsidR="00E55C1F" w:rsidRDefault="008E1F26">
            <w:pPr>
              <w:jc w:val="center"/>
              <w:rPr>
                <w:sz w:val="20"/>
              </w:rPr>
            </w:pPr>
            <w:r>
              <w:rPr>
                <w:iCs/>
                <w:sz w:val="20"/>
              </w:rPr>
              <w:t>–</w:t>
            </w:r>
          </w:p>
        </w:tc>
        <w:tc>
          <w:tcPr>
            <w:tcW w:w="1051" w:type="dxa"/>
            <w:tcMar>
              <w:left w:w="28" w:type="dxa"/>
              <w:right w:w="28" w:type="dxa"/>
            </w:tcMar>
          </w:tcPr>
          <w:p w14:paraId="6576D4B2" w14:textId="77777777" w:rsidR="00E55C1F" w:rsidRDefault="008E1F26">
            <w:pPr>
              <w:jc w:val="center"/>
              <w:rPr>
                <w:sz w:val="20"/>
              </w:rPr>
            </w:pPr>
            <w:r>
              <w:rPr>
                <w:iCs/>
                <w:sz w:val="20"/>
              </w:rPr>
              <w:t>–</w:t>
            </w:r>
          </w:p>
        </w:tc>
        <w:tc>
          <w:tcPr>
            <w:tcW w:w="1132" w:type="dxa"/>
            <w:tcMar>
              <w:left w:w="28" w:type="dxa"/>
              <w:right w:w="28" w:type="dxa"/>
            </w:tcMar>
          </w:tcPr>
          <w:p w14:paraId="1ACA9239" w14:textId="77777777" w:rsidR="00E55C1F" w:rsidRDefault="008E1F26">
            <w:pPr>
              <w:jc w:val="center"/>
              <w:rPr>
                <w:i/>
                <w:iCs/>
                <w:sz w:val="20"/>
              </w:rPr>
            </w:pPr>
            <w:r>
              <w:rPr>
                <w:iCs/>
                <w:sz w:val="20"/>
              </w:rPr>
              <w:t>–</w:t>
            </w:r>
          </w:p>
        </w:tc>
        <w:tc>
          <w:tcPr>
            <w:tcW w:w="859" w:type="dxa"/>
            <w:tcMar>
              <w:left w:w="28" w:type="dxa"/>
              <w:right w:w="28" w:type="dxa"/>
            </w:tcMar>
          </w:tcPr>
          <w:p w14:paraId="68585B36" w14:textId="77777777" w:rsidR="00E55C1F" w:rsidRDefault="008E1F26">
            <w:pPr>
              <w:jc w:val="center"/>
              <w:rPr>
                <w:i/>
                <w:iCs/>
                <w:sz w:val="20"/>
              </w:rPr>
            </w:pPr>
            <w:r>
              <w:rPr>
                <w:iCs/>
                <w:sz w:val="20"/>
              </w:rPr>
              <w:t>–</w:t>
            </w:r>
          </w:p>
        </w:tc>
        <w:tc>
          <w:tcPr>
            <w:tcW w:w="1149" w:type="dxa"/>
          </w:tcPr>
          <w:p w14:paraId="20B023E6" w14:textId="77777777" w:rsidR="00E55C1F" w:rsidRDefault="008E1F26">
            <w:pPr>
              <w:jc w:val="center"/>
              <w:rPr>
                <w:i/>
                <w:iCs/>
                <w:sz w:val="20"/>
              </w:rPr>
            </w:pPr>
            <w:r>
              <w:rPr>
                <w:iCs/>
                <w:sz w:val="20"/>
              </w:rPr>
              <w:t>Ne</w:t>
            </w:r>
          </w:p>
        </w:tc>
      </w:tr>
    </w:tbl>
    <w:p w14:paraId="50BFF005" w14:textId="77777777" w:rsidR="00E55C1F" w:rsidRDefault="00E55C1F">
      <w:pPr>
        <w:ind w:firstLine="567"/>
        <w:jc w:val="both"/>
        <w:rPr>
          <w:bCs/>
          <w:szCs w:val="24"/>
        </w:rPr>
      </w:pPr>
    </w:p>
    <w:p w14:paraId="6E67D5CB" w14:textId="77777777" w:rsidR="00E55C1F" w:rsidRDefault="00E55C1F">
      <w:pPr>
        <w:ind w:firstLine="567"/>
        <w:jc w:val="both"/>
        <w:rPr>
          <w:b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E55C1F" w14:paraId="546F5C61" w14:textId="77777777">
        <w:trPr>
          <w:trHeight w:val="405"/>
        </w:trPr>
        <w:tc>
          <w:tcPr>
            <w:tcW w:w="3783" w:type="dxa"/>
            <w:shd w:val="clear" w:color="auto" w:fill="auto"/>
            <w:vAlign w:val="center"/>
          </w:tcPr>
          <w:p w14:paraId="2081AEC1" w14:textId="77777777" w:rsidR="00E55C1F" w:rsidRDefault="008E1F26">
            <w:pPr>
              <w:jc w:val="center"/>
              <w:rPr>
                <w:sz w:val="22"/>
                <w:szCs w:val="22"/>
              </w:rPr>
            </w:pPr>
            <w:r>
              <w:rPr>
                <w:sz w:val="22"/>
                <w:szCs w:val="22"/>
              </w:rPr>
              <w:t>Rodiklio pavadinimas</w:t>
            </w:r>
          </w:p>
        </w:tc>
        <w:tc>
          <w:tcPr>
            <w:tcW w:w="3784" w:type="dxa"/>
            <w:shd w:val="clear" w:color="auto" w:fill="auto"/>
            <w:vAlign w:val="center"/>
          </w:tcPr>
          <w:p w14:paraId="2A19EC12" w14:textId="77777777" w:rsidR="00E55C1F" w:rsidRDefault="008E1F26">
            <w:pPr>
              <w:jc w:val="center"/>
              <w:rPr>
                <w:sz w:val="22"/>
                <w:szCs w:val="22"/>
              </w:rPr>
            </w:pPr>
            <w:r>
              <w:rPr>
                <w:sz w:val="22"/>
                <w:szCs w:val="22"/>
              </w:rPr>
              <w:t>Rodiklio kodas</w:t>
            </w:r>
          </w:p>
        </w:tc>
        <w:tc>
          <w:tcPr>
            <w:tcW w:w="3783" w:type="dxa"/>
            <w:shd w:val="clear" w:color="auto" w:fill="auto"/>
            <w:vAlign w:val="center"/>
          </w:tcPr>
          <w:p w14:paraId="3F822CBB" w14:textId="77777777" w:rsidR="00E55C1F" w:rsidRDefault="008E1F26">
            <w:pPr>
              <w:jc w:val="center"/>
              <w:rPr>
                <w:sz w:val="22"/>
                <w:szCs w:val="22"/>
              </w:rPr>
            </w:pPr>
            <w:r>
              <w:rPr>
                <w:sz w:val="22"/>
                <w:szCs w:val="22"/>
              </w:rPr>
              <w:t>Matavimo vienetai</w:t>
            </w:r>
          </w:p>
        </w:tc>
        <w:tc>
          <w:tcPr>
            <w:tcW w:w="3784" w:type="dxa"/>
            <w:shd w:val="clear" w:color="auto" w:fill="auto"/>
            <w:vAlign w:val="center"/>
          </w:tcPr>
          <w:p w14:paraId="7FFAD2A1" w14:textId="77777777" w:rsidR="00E55C1F" w:rsidRDefault="008E1F26">
            <w:pPr>
              <w:jc w:val="center"/>
              <w:rPr>
                <w:sz w:val="22"/>
                <w:szCs w:val="22"/>
              </w:rPr>
            </w:pPr>
            <w:r>
              <w:rPr>
                <w:sz w:val="22"/>
                <w:szCs w:val="22"/>
              </w:rPr>
              <w:t>Siektina reikšmė ir pasiekimo data</w:t>
            </w:r>
          </w:p>
        </w:tc>
      </w:tr>
      <w:tr w:rsidR="00E55C1F" w14:paraId="59CE889D" w14:textId="77777777">
        <w:trPr>
          <w:trHeight w:val="416"/>
        </w:trPr>
        <w:tc>
          <w:tcPr>
            <w:tcW w:w="3783" w:type="dxa"/>
          </w:tcPr>
          <w:p w14:paraId="4F37D2AC" w14:textId="77777777" w:rsidR="00E55C1F" w:rsidRDefault="008E1F26">
            <w:pPr>
              <w:jc w:val="center"/>
              <w:rPr>
                <w:i/>
                <w:iCs/>
                <w:sz w:val="18"/>
                <w:szCs w:val="18"/>
              </w:rPr>
            </w:pPr>
            <w:r>
              <w:rPr>
                <w:sz w:val="22"/>
                <w:szCs w:val="22"/>
              </w:rPr>
              <w:t>Pristatyta elektra ir vandeniliu varomų viešojo transporto priemonių (autobusų)*</w:t>
            </w:r>
          </w:p>
        </w:tc>
        <w:tc>
          <w:tcPr>
            <w:tcW w:w="3784" w:type="dxa"/>
          </w:tcPr>
          <w:p w14:paraId="2B99FDBB" w14:textId="77777777" w:rsidR="00E55C1F" w:rsidRDefault="008E1F26">
            <w:pPr>
              <w:jc w:val="center"/>
              <w:rPr>
                <w:sz w:val="22"/>
                <w:szCs w:val="22"/>
              </w:rPr>
            </w:pPr>
            <w:r>
              <w:rPr>
                <w:sz w:val="22"/>
                <w:szCs w:val="22"/>
              </w:rPr>
              <w:t>P.S.1.1036</w:t>
            </w:r>
          </w:p>
          <w:p w14:paraId="4DA7C254" w14:textId="77777777" w:rsidR="00E55C1F" w:rsidRDefault="008E1F26">
            <w:pPr>
              <w:jc w:val="center"/>
              <w:rPr>
                <w:i/>
                <w:iCs/>
                <w:sz w:val="22"/>
                <w:szCs w:val="22"/>
              </w:rPr>
            </w:pPr>
            <w:r>
              <w:rPr>
                <w:sz w:val="22"/>
                <w:szCs w:val="22"/>
              </w:rPr>
              <w:t>(P-10-001-06-01-01-08)</w:t>
            </w:r>
          </w:p>
        </w:tc>
        <w:tc>
          <w:tcPr>
            <w:tcW w:w="3783" w:type="dxa"/>
          </w:tcPr>
          <w:p w14:paraId="37D6F0B9" w14:textId="77777777" w:rsidR="00E55C1F" w:rsidRDefault="008E1F26">
            <w:pPr>
              <w:jc w:val="center"/>
              <w:rPr>
                <w:i/>
                <w:iCs/>
                <w:sz w:val="22"/>
                <w:szCs w:val="22"/>
              </w:rPr>
            </w:pPr>
            <w:r>
              <w:rPr>
                <w:sz w:val="22"/>
                <w:szCs w:val="22"/>
              </w:rPr>
              <w:t>Skaičius</w:t>
            </w:r>
          </w:p>
        </w:tc>
        <w:tc>
          <w:tcPr>
            <w:tcW w:w="3784" w:type="dxa"/>
          </w:tcPr>
          <w:p w14:paraId="4BDDCBBD" w14:textId="77777777" w:rsidR="00E55C1F" w:rsidRDefault="008E1F26">
            <w:pPr>
              <w:jc w:val="both"/>
              <w:rPr>
                <w:bCs/>
                <w:sz w:val="22"/>
                <w:szCs w:val="22"/>
              </w:rPr>
            </w:pPr>
            <w:r>
              <w:rPr>
                <w:bCs/>
                <w:sz w:val="22"/>
                <w:szCs w:val="22"/>
              </w:rPr>
              <w:t>Tarpinė 2025 m. II ketv. – 35;</w:t>
            </w:r>
          </w:p>
          <w:p w14:paraId="16DDE608" w14:textId="77777777" w:rsidR="00E55C1F" w:rsidRDefault="008E1F26">
            <w:pPr>
              <w:rPr>
                <w:i/>
                <w:iCs/>
                <w:sz w:val="22"/>
                <w:szCs w:val="22"/>
              </w:rPr>
            </w:pPr>
            <w:r>
              <w:rPr>
                <w:bCs/>
                <w:sz w:val="22"/>
                <w:szCs w:val="22"/>
              </w:rPr>
              <w:t>galutinė 2026 m. II ketv. – 180</w:t>
            </w:r>
          </w:p>
        </w:tc>
      </w:tr>
      <w:tr w:rsidR="00E55C1F" w14:paraId="7B5258C1" w14:textId="77777777">
        <w:trPr>
          <w:trHeight w:val="416"/>
        </w:trPr>
        <w:tc>
          <w:tcPr>
            <w:tcW w:w="3783" w:type="dxa"/>
            <w:vAlign w:val="center"/>
          </w:tcPr>
          <w:p w14:paraId="635BC25B" w14:textId="77777777" w:rsidR="00E55C1F" w:rsidRDefault="008E1F26">
            <w:pPr>
              <w:jc w:val="center"/>
              <w:rPr>
                <w:i/>
                <w:iCs/>
                <w:sz w:val="22"/>
                <w:szCs w:val="22"/>
              </w:rPr>
            </w:pPr>
            <w:r>
              <w:rPr>
                <w:sz w:val="22"/>
                <w:szCs w:val="22"/>
              </w:rPr>
              <w:t>Paramą gavusios įmonės*</w:t>
            </w:r>
          </w:p>
        </w:tc>
        <w:tc>
          <w:tcPr>
            <w:tcW w:w="3784" w:type="dxa"/>
            <w:vAlign w:val="center"/>
          </w:tcPr>
          <w:p w14:paraId="523BF64C" w14:textId="77777777" w:rsidR="00E55C1F" w:rsidRDefault="008E1F26">
            <w:pPr>
              <w:jc w:val="center"/>
              <w:rPr>
                <w:sz w:val="22"/>
                <w:szCs w:val="22"/>
              </w:rPr>
            </w:pPr>
            <w:r>
              <w:rPr>
                <w:sz w:val="22"/>
                <w:szCs w:val="22"/>
              </w:rPr>
              <w:t>R.B.1.2009</w:t>
            </w:r>
          </w:p>
          <w:p w14:paraId="6164A842" w14:textId="77777777" w:rsidR="00E55C1F" w:rsidRDefault="008E1F26">
            <w:pPr>
              <w:jc w:val="center"/>
              <w:rPr>
                <w:i/>
                <w:iCs/>
                <w:sz w:val="22"/>
                <w:szCs w:val="22"/>
              </w:rPr>
            </w:pPr>
            <w:r>
              <w:rPr>
                <w:sz w:val="22"/>
                <w:szCs w:val="22"/>
              </w:rPr>
              <w:t>(R-10-001-06-01-01-06)</w:t>
            </w:r>
          </w:p>
        </w:tc>
        <w:tc>
          <w:tcPr>
            <w:tcW w:w="3783" w:type="dxa"/>
            <w:vAlign w:val="center"/>
          </w:tcPr>
          <w:p w14:paraId="6D97E655" w14:textId="77777777" w:rsidR="00E55C1F" w:rsidRDefault="008E1F26">
            <w:pPr>
              <w:jc w:val="center"/>
              <w:rPr>
                <w:i/>
                <w:iCs/>
                <w:sz w:val="22"/>
                <w:szCs w:val="22"/>
              </w:rPr>
            </w:pPr>
            <w:r>
              <w:rPr>
                <w:sz w:val="22"/>
                <w:szCs w:val="22"/>
              </w:rPr>
              <w:t>Skaičius</w:t>
            </w:r>
          </w:p>
        </w:tc>
        <w:tc>
          <w:tcPr>
            <w:tcW w:w="3784" w:type="dxa"/>
            <w:vAlign w:val="center"/>
          </w:tcPr>
          <w:p w14:paraId="776C3C78" w14:textId="77777777" w:rsidR="00E55C1F" w:rsidRDefault="008E1F26">
            <w:pPr>
              <w:jc w:val="center"/>
              <w:rPr>
                <w:sz w:val="22"/>
                <w:szCs w:val="22"/>
              </w:rPr>
            </w:pPr>
            <w:r>
              <w:rPr>
                <w:sz w:val="22"/>
                <w:szCs w:val="22"/>
              </w:rPr>
              <w:t>-</w:t>
            </w:r>
          </w:p>
          <w:p w14:paraId="0E58AF86" w14:textId="77777777" w:rsidR="00E55C1F" w:rsidRDefault="008E1F26">
            <w:pPr>
              <w:jc w:val="center"/>
              <w:rPr>
                <w:i/>
                <w:iCs/>
                <w:sz w:val="22"/>
                <w:szCs w:val="22"/>
              </w:rPr>
            </w:pPr>
            <w:r>
              <w:rPr>
                <w:sz w:val="22"/>
                <w:szCs w:val="22"/>
              </w:rPr>
              <w:t>2026 m. II ketv.</w:t>
            </w:r>
          </w:p>
        </w:tc>
      </w:tr>
      <w:tr w:rsidR="00E55C1F" w14:paraId="1342885F" w14:textId="77777777">
        <w:trPr>
          <w:trHeight w:val="416"/>
        </w:trPr>
        <w:tc>
          <w:tcPr>
            <w:tcW w:w="3783" w:type="dxa"/>
            <w:vAlign w:val="center"/>
          </w:tcPr>
          <w:p w14:paraId="2123E358" w14:textId="77777777" w:rsidR="00E55C1F" w:rsidRDefault="008E1F26">
            <w:pPr>
              <w:jc w:val="center"/>
              <w:rPr>
                <w:i/>
                <w:iCs/>
                <w:sz w:val="22"/>
                <w:szCs w:val="22"/>
              </w:rPr>
            </w:pPr>
            <w:r>
              <w:rPr>
                <w:sz w:val="22"/>
                <w:szCs w:val="22"/>
              </w:rPr>
              <w:t>Paramą gavusios įmonės, iš jų mažos ir labai mažos įmonės**</w:t>
            </w:r>
          </w:p>
        </w:tc>
        <w:tc>
          <w:tcPr>
            <w:tcW w:w="3784" w:type="dxa"/>
            <w:vAlign w:val="center"/>
          </w:tcPr>
          <w:p w14:paraId="78D56AED" w14:textId="77777777" w:rsidR="00E55C1F" w:rsidRDefault="008E1F26">
            <w:pPr>
              <w:jc w:val="center"/>
              <w:rPr>
                <w:sz w:val="22"/>
                <w:szCs w:val="22"/>
              </w:rPr>
            </w:pPr>
            <w:r>
              <w:rPr>
                <w:sz w:val="22"/>
                <w:szCs w:val="22"/>
              </w:rPr>
              <w:t>R.B.1.2009.1</w:t>
            </w:r>
          </w:p>
          <w:p w14:paraId="2E73FCA3" w14:textId="77777777" w:rsidR="00E55C1F" w:rsidRDefault="008E1F26">
            <w:pPr>
              <w:jc w:val="center"/>
              <w:rPr>
                <w:i/>
                <w:iCs/>
                <w:sz w:val="22"/>
                <w:szCs w:val="22"/>
              </w:rPr>
            </w:pPr>
            <w:r>
              <w:rPr>
                <w:sz w:val="22"/>
                <w:szCs w:val="22"/>
              </w:rPr>
              <w:t>(R-10-001-06-01-01-07)</w:t>
            </w:r>
          </w:p>
        </w:tc>
        <w:tc>
          <w:tcPr>
            <w:tcW w:w="3783" w:type="dxa"/>
            <w:vAlign w:val="center"/>
          </w:tcPr>
          <w:p w14:paraId="32AFBA7B" w14:textId="77777777" w:rsidR="00E55C1F" w:rsidRDefault="008E1F26">
            <w:pPr>
              <w:jc w:val="center"/>
              <w:rPr>
                <w:i/>
                <w:iCs/>
                <w:sz w:val="22"/>
                <w:szCs w:val="22"/>
              </w:rPr>
            </w:pPr>
            <w:r>
              <w:rPr>
                <w:sz w:val="22"/>
                <w:szCs w:val="22"/>
              </w:rPr>
              <w:t>Skaičius</w:t>
            </w:r>
          </w:p>
        </w:tc>
        <w:tc>
          <w:tcPr>
            <w:tcW w:w="3784" w:type="dxa"/>
            <w:vAlign w:val="center"/>
          </w:tcPr>
          <w:p w14:paraId="1A91BC2E" w14:textId="77777777" w:rsidR="00E55C1F" w:rsidRDefault="008E1F26">
            <w:pPr>
              <w:jc w:val="center"/>
              <w:rPr>
                <w:sz w:val="22"/>
                <w:szCs w:val="22"/>
              </w:rPr>
            </w:pPr>
            <w:r>
              <w:rPr>
                <w:sz w:val="22"/>
                <w:szCs w:val="22"/>
              </w:rPr>
              <w:t>-</w:t>
            </w:r>
          </w:p>
          <w:p w14:paraId="63ECECBA" w14:textId="77777777" w:rsidR="00E55C1F" w:rsidRDefault="008E1F26">
            <w:pPr>
              <w:jc w:val="center"/>
              <w:rPr>
                <w:i/>
                <w:iCs/>
                <w:sz w:val="22"/>
                <w:szCs w:val="22"/>
              </w:rPr>
            </w:pPr>
            <w:r>
              <w:rPr>
                <w:sz w:val="22"/>
                <w:szCs w:val="22"/>
              </w:rPr>
              <w:t>2026 m. II ketv.</w:t>
            </w:r>
          </w:p>
        </w:tc>
      </w:tr>
      <w:tr w:rsidR="00E55C1F" w14:paraId="31DECA4E" w14:textId="77777777">
        <w:trPr>
          <w:trHeight w:val="416"/>
        </w:trPr>
        <w:tc>
          <w:tcPr>
            <w:tcW w:w="3783" w:type="dxa"/>
            <w:vAlign w:val="center"/>
          </w:tcPr>
          <w:p w14:paraId="7A764E18" w14:textId="77777777" w:rsidR="00E55C1F" w:rsidRDefault="008E1F26">
            <w:pPr>
              <w:jc w:val="center"/>
              <w:rPr>
                <w:i/>
                <w:iCs/>
                <w:sz w:val="22"/>
                <w:szCs w:val="22"/>
              </w:rPr>
            </w:pPr>
            <w:r>
              <w:rPr>
                <w:sz w:val="22"/>
                <w:szCs w:val="22"/>
              </w:rPr>
              <w:t>Paramą gavusios įmonės, iš jų vidutinės įmonės**</w:t>
            </w:r>
          </w:p>
        </w:tc>
        <w:tc>
          <w:tcPr>
            <w:tcW w:w="3784" w:type="dxa"/>
            <w:vAlign w:val="center"/>
          </w:tcPr>
          <w:p w14:paraId="279EE7A8" w14:textId="77777777" w:rsidR="00E55C1F" w:rsidRDefault="008E1F26">
            <w:pPr>
              <w:jc w:val="center"/>
              <w:rPr>
                <w:sz w:val="22"/>
                <w:szCs w:val="22"/>
              </w:rPr>
            </w:pPr>
            <w:r>
              <w:rPr>
                <w:sz w:val="22"/>
                <w:szCs w:val="22"/>
              </w:rPr>
              <w:t>R.B.1.2009.2</w:t>
            </w:r>
          </w:p>
          <w:p w14:paraId="1629D21B" w14:textId="77777777" w:rsidR="00E55C1F" w:rsidRDefault="008E1F26">
            <w:pPr>
              <w:jc w:val="center"/>
              <w:rPr>
                <w:i/>
                <w:iCs/>
                <w:sz w:val="22"/>
                <w:szCs w:val="22"/>
              </w:rPr>
            </w:pPr>
            <w:r>
              <w:rPr>
                <w:sz w:val="22"/>
                <w:szCs w:val="22"/>
              </w:rPr>
              <w:t>(R-10-001-06-01-01-08)</w:t>
            </w:r>
          </w:p>
        </w:tc>
        <w:tc>
          <w:tcPr>
            <w:tcW w:w="3783" w:type="dxa"/>
            <w:vAlign w:val="center"/>
          </w:tcPr>
          <w:p w14:paraId="5D6E0084" w14:textId="77777777" w:rsidR="00E55C1F" w:rsidRDefault="008E1F26">
            <w:pPr>
              <w:jc w:val="center"/>
              <w:rPr>
                <w:i/>
                <w:iCs/>
                <w:sz w:val="22"/>
                <w:szCs w:val="22"/>
              </w:rPr>
            </w:pPr>
            <w:r>
              <w:rPr>
                <w:sz w:val="22"/>
                <w:szCs w:val="22"/>
              </w:rPr>
              <w:t>Skaičius</w:t>
            </w:r>
          </w:p>
        </w:tc>
        <w:tc>
          <w:tcPr>
            <w:tcW w:w="3784" w:type="dxa"/>
            <w:vAlign w:val="center"/>
          </w:tcPr>
          <w:p w14:paraId="6016B652" w14:textId="77777777" w:rsidR="00E55C1F" w:rsidRDefault="008E1F26">
            <w:pPr>
              <w:jc w:val="center"/>
              <w:rPr>
                <w:sz w:val="22"/>
                <w:szCs w:val="22"/>
              </w:rPr>
            </w:pPr>
            <w:r>
              <w:rPr>
                <w:sz w:val="22"/>
                <w:szCs w:val="22"/>
              </w:rPr>
              <w:t>-</w:t>
            </w:r>
          </w:p>
          <w:p w14:paraId="625D56FB" w14:textId="77777777" w:rsidR="00E55C1F" w:rsidRDefault="008E1F26">
            <w:pPr>
              <w:jc w:val="center"/>
              <w:rPr>
                <w:i/>
                <w:iCs/>
                <w:sz w:val="22"/>
                <w:szCs w:val="22"/>
              </w:rPr>
            </w:pPr>
            <w:r>
              <w:rPr>
                <w:sz w:val="22"/>
                <w:szCs w:val="22"/>
              </w:rPr>
              <w:t>2026 m. II ketv.</w:t>
            </w:r>
          </w:p>
        </w:tc>
      </w:tr>
      <w:tr w:rsidR="00E55C1F" w14:paraId="57BC2F56" w14:textId="77777777">
        <w:trPr>
          <w:trHeight w:val="416"/>
        </w:trPr>
        <w:tc>
          <w:tcPr>
            <w:tcW w:w="3783" w:type="dxa"/>
            <w:vAlign w:val="center"/>
          </w:tcPr>
          <w:p w14:paraId="4B03D41F" w14:textId="77777777" w:rsidR="00E55C1F" w:rsidRDefault="008E1F26">
            <w:pPr>
              <w:jc w:val="center"/>
              <w:rPr>
                <w:i/>
                <w:iCs/>
                <w:sz w:val="22"/>
                <w:szCs w:val="22"/>
              </w:rPr>
            </w:pPr>
            <w:r>
              <w:rPr>
                <w:sz w:val="22"/>
                <w:szCs w:val="22"/>
              </w:rPr>
              <w:t>Paramą gavusios įmonės, iš jų didelės įmonės**</w:t>
            </w:r>
          </w:p>
        </w:tc>
        <w:tc>
          <w:tcPr>
            <w:tcW w:w="3784" w:type="dxa"/>
            <w:vAlign w:val="center"/>
          </w:tcPr>
          <w:p w14:paraId="6CED9588" w14:textId="77777777" w:rsidR="00E55C1F" w:rsidRDefault="008E1F26">
            <w:pPr>
              <w:jc w:val="center"/>
              <w:rPr>
                <w:sz w:val="22"/>
                <w:szCs w:val="22"/>
              </w:rPr>
            </w:pPr>
            <w:r>
              <w:rPr>
                <w:sz w:val="22"/>
                <w:szCs w:val="22"/>
              </w:rPr>
              <w:t>R.B.1.2009.3</w:t>
            </w:r>
          </w:p>
          <w:p w14:paraId="718E6E4D" w14:textId="77777777" w:rsidR="00E55C1F" w:rsidRDefault="008E1F26">
            <w:pPr>
              <w:jc w:val="center"/>
              <w:rPr>
                <w:i/>
                <w:iCs/>
                <w:sz w:val="22"/>
                <w:szCs w:val="22"/>
              </w:rPr>
            </w:pPr>
            <w:r>
              <w:rPr>
                <w:sz w:val="22"/>
                <w:szCs w:val="22"/>
              </w:rPr>
              <w:t>(R-10-001-06-01-01-09)</w:t>
            </w:r>
          </w:p>
        </w:tc>
        <w:tc>
          <w:tcPr>
            <w:tcW w:w="3783" w:type="dxa"/>
            <w:vAlign w:val="center"/>
          </w:tcPr>
          <w:p w14:paraId="002A6F65" w14:textId="77777777" w:rsidR="00E55C1F" w:rsidRDefault="008E1F26">
            <w:pPr>
              <w:jc w:val="center"/>
              <w:rPr>
                <w:i/>
                <w:iCs/>
                <w:sz w:val="22"/>
                <w:szCs w:val="22"/>
              </w:rPr>
            </w:pPr>
            <w:r>
              <w:rPr>
                <w:sz w:val="22"/>
                <w:szCs w:val="22"/>
              </w:rPr>
              <w:t>Skaičius</w:t>
            </w:r>
          </w:p>
        </w:tc>
        <w:tc>
          <w:tcPr>
            <w:tcW w:w="3784" w:type="dxa"/>
            <w:vAlign w:val="center"/>
          </w:tcPr>
          <w:p w14:paraId="77002D0F" w14:textId="77777777" w:rsidR="00E55C1F" w:rsidRDefault="008E1F26">
            <w:pPr>
              <w:jc w:val="center"/>
              <w:rPr>
                <w:sz w:val="22"/>
                <w:szCs w:val="22"/>
              </w:rPr>
            </w:pPr>
            <w:r>
              <w:rPr>
                <w:sz w:val="22"/>
                <w:szCs w:val="22"/>
              </w:rPr>
              <w:t>-</w:t>
            </w:r>
          </w:p>
          <w:p w14:paraId="5CCDA191" w14:textId="77777777" w:rsidR="00E55C1F" w:rsidRDefault="008E1F26">
            <w:pPr>
              <w:jc w:val="center"/>
              <w:rPr>
                <w:i/>
                <w:iCs/>
                <w:sz w:val="22"/>
                <w:szCs w:val="22"/>
              </w:rPr>
            </w:pPr>
            <w:r>
              <w:rPr>
                <w:sz w:val="22"/>
                <w:szCs w:val="22"/>
              </w:rPr>
              <w:t>2026 m. II ketv.</w:t>
            </w:r>
          </w:p>
        </w:tc>
      </w:tr>
    </w:tbl>
    <w:p w14:paraId="6970D327" w14:textId="77777777" w:rsidR="00E55C1F" w:rsidRDefault="008E1F26">
      <w:pPr>
        <w:jc w:val="both"/>
        <w:rPr>
          <w:bCs/>
          <w:szCs w:val="24"/>
          <w:lang w:eastAsia="lt-LT"/>
        </w:rPr>
      </w:pPr>
      <w:r>
        <w:rPr>
          <w:b/>
          <w:szCs w:val="24"/>
          <w:lang w:eastAsia="lt-LT"/>
        </w:rPr>
        <w:t>Pastabos:</w:t>
      </w:r>
      <w:r>
        <w:rPr>
          <w:bCs/>
          <w:szCs w:val="24"/>
          <w:lang w:eastAsia="lt-LT"/>
        </w:rPr>
        <w:t xml:space="preserve"> * Prie rodiklio pasiekimo privalo prisidėti visi projektai.</w:t>
      </w:r>
    </w:p>
    <w:p w14:paraId="28616200" w14:textId="77777777" w:rsidR="00E55C1F" w:rsidRDefault="008E1F26">
      <w:pPr>
        <w:ind w:firstLine="1054"/>
        <w:jc w:val="both"/>
        <w:rPr>
          <w:bCs/>
          <w:szCs w:val="24"/>
        </w:rPr>
      </w:pPr>
      <w:r>
        <w:rPr>
          <w:bCs/>
          <w:szCs w:val="24"/>
        </w:rPr>
        <w:t>** Prie rodiklio pasiekimo prisidedama pasirinktinai, atsižvelgiant į pareiškėjo įmonės statusą.</w:t>
      </w:r>
    </w:p>
    <w:p w14:paraId="3AF963E1" w14:textId="77777777" w:rsidR="00E55C1F" w:rsidRDefault="00E55C1F">
      <w:pPr>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55C1F" w14:paraId="2E0920F9" w14:textId="77777777">
        <w:trPr>
          <w:trHeight w:val="298"/>
        </w:trPr>
        <w:tc>
          <w:tcPr>
            <w:tcW w:w="15158" w:type="dxa"/>
          </w:tcPr>
          <w:p w14:paraId="0C798C54" w14:textId="77777777" w:rsidR="00E55C1F" w:rsidRDefault="008E1F26">
            <w:pPr>
              <w:jc w:val="both"/>
              <w:rPr>
                <w:szCs w:val="24"/>
              </w:rPr>
            </w:pPr>
            <w:r>
              <w:rPr>
                <w:szCs w:val="24"/>
              </w:rPr>
              <w:t>Ministerijos stebėsenos rodiklių aprašymo kortelės</w:t>
            </w:r>
          </w:p>
        </w:tc>
      </w:tr>
      <w:tr w:rsidR="00E55C1F" w14:paraId="2E2430A1" w14:textId="77777777">
        <w:trPr>
          <w:trHeight w:val="315"/>
        </w:trPr>
        <w:tc>
          <w:tcPr>
            <w:tcW w:w="15158" w:type="dxa"/>
          </w:tcPr>
          <w:p w14:paraId="2F42BB9D" w14:textId="77777777" w:rsidR="00E55C1F" w:rsidRDefault="008E1F26">
            <w:pPr>
              <w:jc w:val="both"/>
              <w:rPr>
                <w:i/>
                <w:szCs w:val="24"/>
              </w:rPr>
            </w:pPr>
            <w:r>
              <w:rPr>
                <w:szCs w:val="24"/>
              </w:rPr>
              <w:t>Pasiektos stebėsenos rodiklių reikšmės apskaičiuojamos pagal metodiką, nustatytą stebėsenos rodiklių aprašymo kortelėse, kurios skelbiamos Europos Sąjungos investicijų interneto svetainėje esinvesticijos.lt (</w:t>
            </w:r>
            <w:r>
              <w:t>https://2021.esinvesticijos.lt/dokumentai/stebesenos-rodikliu-suvestine)</w:t>
            </w:r>
            <w:r>
              <w:rPr>
                <w:szCs w:val="24"/>
              </w:rPr>
              <w:t xml:space="preserve"> ir Lietuvos Respublikos susisiekimo ministerijos (toliau </w:t>
            </w:r>
            <w:r>
              <w:rPr>
                <w:iCs/>
                <w:szCs w:val="24"/>
              </w:rPr>
              <w:t>–</w:t>
            </w:r>
            <w:r>
              <w:rPr>
                <w:szCs w:val="24"/>
              </w:rPr>
              <w:t xml:space="preserve"> Ministerija) interneto svetainės https://sumin.lrv.lt/lt skyriaus „Administracinė informacija“ srityje „Planavimo dokumentai“, „</w:t>
            </w:r>
            <w:r>
              <w:t>Patvirtintos Plėtros programos pažangos priemonės</w:t>
            </w:r>
            <w:r>
              <w:rPr>
                <w:szCs w:val="24"/>
              </w:rPr>
              <w:t>“ pažangos priemonės Nr. 10-001-06-01-01 „Skatinti alternatyviųjų degalų naudojimą transporto sektoriuje“ skelbiamoje informacijoje.</w:t>
            </w:r>
          </w:p>
        </w:tc>
      </w:tr>
    </w:tbl>
    <w:p w14:paraId="3D6A6BFA" w14:textId="77777777" w:rsidR="00E55C1F" w:rsidRDefault="00E55C1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E55C1F" w14:paraId="119B266D" w14:textId="77777777">
        <w:tc>
          <w:tcPr>
            <w:tcW w:w="15134" w:type="dxa"/>
          </w:tcPr>
          <w:p w14:paraId="36BD2758" w14:textId="77777777" w:rsidR="00E55C1F" w:rsidRDefault="008E1F26">
            <w:pPr>
              <w:rPr>
                <w:b/>
                <w:szCs w:val="24"/>
              </w:rPr>
            </w:pPr>
            <w:r>
              <w:rPr>
                <w:b/>
                <w:szCs w:val="24"/>
              </w:rPr>
              <w:t>SPECIALIEJI FINANSAVIMO REIKALAVIMAI</w:t>
            </w:r>
          </w:p>
        </w:tc>
      </w:tr>
      <w:tr w:rsidR="00E55C1F" w14:paraId="7B4F6B64" w14:textId="77777777">
        <w:tc>
          <w:tcPr>
            <w:tcW w:w="15134" w:type="dxa"/>
          </w:tcPr>
          <w:p w14:paraId="081DD3B5" w14:textId="77777777" w:rsidR="00E55C1F" w:rsidRDefault="008E1F26">
            <w:pPr>
              <w:rPr>
                <w:b/>
                <w:bCs/>
                <w:szCs w:val="24"/>
              </w:rPr>
            </w:pPr>
            <w:r>
              <w:rPr>
                <w:b/>
                <w:bCs/>
                <w:szCs w:val="24"/>
              </w:rPr>
              <w:t>1. Taikomi teisės aktai</w:t>
            </w:r>
          </w:p>
        </w:tc>
      </w:tr>
      <w:tr w:rsidR="00E55C1F" w14:paraId="24AEA5B3" w14:textId="77777777">
        <w:tc>
          <w:tcPr>
            <w:tcW w:w="15134" w:type="dxa"/>
          </w:tcPr>
          <w:p w14:paraId="30D7D4B7" w14:textId="77777777" w:rsidR="00E55C1F" w:rsidRDefault="008E1F26">
            <w:pPr>
              <w:tabs>
                <w:tab w:val="left" w:pos="420"/>
              </w:tabs>
              <w:jc w:val="both"/>
              <w:rPr>
                <w:iCs/>
                <w:szCs w:val="24"/>
              </w:rPr>
            </w:pPr>
            <w:r>
              <w:rPr>
                <w:szCs w:val="24"/>
              </w:rPr>
              <w:t xml:space="preserve">1.1. 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susisiekimo ministerijos susisiekimo plėtros programos pažangos priemonės Nr. 10-001-06-01-01 „Skatinti alternatyviųjų degalų naudojimą transporto sektoriuje“ veiklos „Miesto ir priemiestinio viešojo transporto priemonių parko atnaujinimas, skatinant naudoti visai netaršias transporto priemones“ </w:t>
            </w:r>
            <w:r>
              <w:rPr>
                <w:iCs/>
                <w:szCs w:val="24"/>
              </w:rPr>
              <w:t>projektų finansavimo sąlygų aprašą Nr. 2 (toliau – Aprašas):</w:t>
            </w:r>
          </w:p>
          <w:p w14:paraId="63082DD8" w14:textId="77777777" w:rsidR="00E55C1F" w:rsidRDefault="008E1F26">
            <w:pPr>
              <w:jc w:val="both"/>
              <w:rPr>
                <w:color w:val="000000"/>
                <w:szCs w:val="24"/>
                <w:lang w:eastAsia="lt-LT"/>
              </w:rPr>
            </w:pPr>
            <w:r>
              <w:rPr>
                <w:color w:val="000000"/>
              </w:rPr>
              <w:t xml:space="preserve">1.1.1. </w:t>
            </w:r>
            <w:r>
              <w:rPr>
                <w:iCs/>
              </w:rPr>
              <w:t>2014 m. birželio 17 d. Komisijos reglamentas (ES) Nr. 651/2014, kuriuo tam tikrų kategorijų pagalba skelbiama suderinama su vidaus rinka taikant Sutarties 107 ir 108 straipsnius, su paskutiniais pakeitimais,</w:t>
            </w:r>
            <w:r>
              <w:t xml:space="preserve"> padarytais 2023 m. birželio 23 d. Komisijos reglamento (ES) 2023/1315</w:t>
            </w:r>
            <w:r>
              <w:rPr>
                <w:color w:val="000000"/>
                <w:szCs w:val="24"/>
                <w:lang w:eastAsia="lt-LT"/>
              </w:rPr>
              <w:t>;</w:t>
            </w:r>
          </w:p>
          <w:p w14:paraId="4BD3AE9B" w14:textId="77777777" w:rsidR="00E55C1F" w:rsidRDefault="008E1F26">
            <w:pPr>
              <w:jc w:val="both"/>
              <w:rPr>
                <w:b/>
                <w:bCs/>
                <w:color w:val="000000"/>
              </w:rPr>
            </w:pPr>
            <w:r>
              <w:rPr>
                <w:color w:val="000000"/>
                <w:szCs w:val="24"/>
                <w:lang w:eastAsia="lt-LT"/>
              </w:rPr>
              <w:t xml:space="preserve">1.1.2. </w:t>
            </w:r>
            <w:r>
              <w:t xml:space="preserve">2023 m. gruodžio 13 d. Komisijos reglamentas (ES) </w:t>
            </w:r>
            <w:r>
              <w:rPr>
                <w:shd w:val="clear" w:color="auto" w:fill="FFFFFF"/>
              </w:rPr>
              <w:t>2023/2831</w:t>
            </w:r>
            <w:r>
              <w:t xml:space="preserve"> dėl Sutarties dėl Europos Sąjungos veikimo 107 ir 108 straipsnių taikymo </w:t>
            </w:r>
            <w:r>
              <w:rPr>
                <w:i/>
              </w:rPr>
              <w:t>de minimis</w:t>
            </w:r>
            <w:r>
              <w:t xml:space="preserve"> pagalbai;</w:t>
            </w:r>
          </w:p>
          <w:p w14:paraId="12DE42CF" w14:textId="77777777" w:rsidR="00E55C1F" w:rsidRDefault="008E1F26">
            <w:pPr>
              <w:tabs>
                <w:tab w:val="left" w:pos="420"/>
              </w:tabs>
              <w:jc w:val="both"/>
              <w:rPr>
                <w:szCs w:val="24"/>
                <w:lang w:eastAsia="lt-LT"/>
              </w:rPr>
            </w:pPr>
            <w:r>
              <w:rPr>
                <w:color w:val="000000"/>
                <w:szCs w:val="24"/>
                <w:lang w:eastAsia="lt-LT"/>
              </w:rPr>
              <w:lastRenderedPageBreak/>
              <w:t xml:space="preserve">1.1.3. </w:t>
            </w:r>
            <w:r>
              <w:rPr>
                <w:szCs w:val="24"/>
              </w:rPr>
              <w:t>2021 m. vasario 12 d. Europos Parlamento ir Tarybos reglamentas (ES) 2021/241, kuriuo nustatoma ekonomikos gaivinimo ir atsparumo didinimo priemonė;</w:t>
            </w:r>
          </w:p>
          <w:p w14:paraId="73B5B226" w14:textId="77777777" w:rsidR="00E55C1F" w:rsidRDefault="008E1F26">
            <w:pPr>
              <w:tabs>
                <w:tab w:val="left" w:pos="420"/>
              </w:tabs>
              <w:jc w:val="both"/>
              <w:rPr>
                <w:szCs w:val="24"/>
              </w:rPr>
            </w:pPr>
            <w:r>
              <w:rPr>
                <w:szCs w:val="24"/>
                <w:lang w:eastAsia="lt-LT"/>
              </w:rPr>
              <w:t xml:space="preserve">1.1.4. 2021 m. rugsėjo 28 d. Komisijos deleguotasis reglamentas (ES) 2021/2106, </w:t>
            </w:r>
            <w:r>
              <w:rPr>
                <w:szCs w:val="2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1C80496D" w14:textId="77777777" w:rsidR="00E55C1F" w:rsidRDefault="008E1F26">
            <w:pPr>
              <w:tabs>
                <w:tab w:val="left" w:pos="600"/>
              </w:tabs>
              <w:jc w:val="both"/>
              <w:rPr>
                <w:szCs w:val="24"/>
              </w:rPr>
            </w:pPr>
            <w:r>
              <w:rPr>
                <w:szCs w:val="24"/>
              </w:rPr>
              <w:t>1.1.5. 2021 m. liepos 28 d. Tarybos įgyvendinimo sprendimas dėl Lietuvos ekonomikos gaivinimo ir atsparumo didinimo plano „Naujos kartos Lietuva“ įvertinimo patvirtinimo su visais pakeitimais (toliau – NKL planas);</w:t>
            </w:r>
          </w:p>
          <w:p w14:paraId="008DAA8D" w14:textId="77777777" w:rsidR="00E55C1F" w:rsidRDefault="008E1F26">
            <w:pPr>
              <w:tabs>
                <w:tab w:val="left" w:pos="600"/>
              </w:tabs>
              <w:jc w:val="both"/>
              <w:rPr>
                <w:szCs w:val="24"/>
              </w:rPr>
            </w:pPr>
            <w:r>
              <w:rPr>
                <w:szCs w:val="24"/>
              </w:rPr>
              <w:t>1.1.6. Veiklos susitarimas, patvirtintas Europos Komisijos 2022 m. gegužės 5 d. įgyvendinimo sprendimu, kuriuo patvirtinamas Europos Komisijos ir Lietuvos veiklos susitarimas pagal Reglamentą (ES) 2021/241 (apie nurodytą sprendimą Europos Komisija pranešė dokumentu Nr. (2022)3472216) su visais pakeitimais;</w:t>
            </w:r>
          </w:p>
          <w:p w14:paraId="55D48F6E" w14:textId="77777777" w:rsidR="00E55C1F" w:rsidRDefault="008E1F26">
            <w:pPr>
              <w:tabs>
                <w:tab w:val="left" w:pos="783"/>
              </w:tabs>
              <w:jc w:val="both"/>
              <w:rPr>
                <w:bCs/>
                <w:szCs w:val="24"/>
              </w:rPr>
            </w:pPr>
            <w:r>
              <w:rPr>
                <w:bCs/>
                <w:szCs w:val="24"/>
              </w:rPr>
              <w:t>1.1.7. Lietuvos Respublikos kelių transporto kodeksas;</w:t>
            </w:r>
          </w:p>
          <w:p w14:paraId="568F4F3E" w14:textId="77777777" w:rsidR="00E55C1F" w:rsidRDefault="008E1F26">
            <w:pPr>
              <w:tabs>
                <w:tab w:val="left" w:pos="600"/>
              </w:tabs>
              <w:jc w:val="both"/>
              <w:rPr>
                <w:szCs w:val="24"/>
              </w:rPr>
            </w:pPr>
            <w:r>
              <w:rPr>
                <w:szCs w:val="24"/>
              </w:rPr>
              <w:t xml:space="preserve">1.1.8. </w:t>
            </w:r>
            <w:r>
              <w:rPr>
                <w:bCs/>
                <w:szCs w:val="24"/>
              </w:rPr>
              <w:t>Lietuvos Respublikos transporto veiklos pagrindų įstatymas;</w:t>
            </w:r>
          </w:p>
          <w:p w14:paraId="52DFF27C" w14:textId="77777777" w:rsidR="00E55C1F" w:rsidRDefault="008E1F26">
            <w:pPr>
              <w:tabs>
                <w:tab w:val="left" w:pos="600"/>
              </w:tabs>
              <w:jc w:val="both"/>
              <w:rPr>
                <w:szCs w:val="24"/>
                <w:lang w:eastAsia="lt-LT"/>
              </w:rPr>
            </w:pPr>
            <w:r>
              <w:rPr>
                <w:szCs w:val="24"/>
              </w:rPr>
              <w:t>1.1.9. Lietuvos Respublikos alternatyviųjų degalų įstatymas;</w:t>
            </w:r>
          </w:p>
          <w:p w14:paraId="74666DA3" w14:textId="77777777" w:rsidR="00E55C1F" w:rsidRDefault="008E1F26">
            <w:pPr>
              <w:tabs>
                <w:tab w:val="left" w:pos="783"/>
              </w:tabs>
              <w:jc w:val="both"/>
              <w:rPr>
                <w:szCs w:val="24"/>
                <w:lang w:eastAsia="lt-LT"/>
              </w:rPr>
            </w:pPr>
            <w:r>
              <w:rPr>
                <w:szCs w:val="24"/>
                <w:lang w:eastAsia="lt-LT"/>
              </w:rPr>
              <w:t>1.1.10. Lietuvos Respublikos atsinaujinančių išteklių energetikos įstatymas;</w:t>
            </w:r>
          </w:p>
          <w:p w14:paraId="18890A51" w14:textId="77777777" w:rsidR="00E55C1F" w:rsidRDefault="008E1F26">
            <w:pPr>
              <w:tabs>
                <w:tab w:val="left" w:pos="783"/>
              </w:tabs>
              <w:jc w:val="both"/>
              <w:rPr>
                <w:szCs w:val="24"/>
              </w:rPr>
            </w:pPr>
            <w:r>
              <w:rPr>
                <w:szCs w:val="24"/>
                <w:lang w:eastAsia="lt-LT"/>
              </w:rPr>
              <w:t xml:space="preserve">1.1.11. </w:t>
            </w:r>
            <w:r>
              <w:rPr>
                <w:szCs w:val="24"/>
              </w:rPr>
              <w:t>Lietuvos Respublikos smulkiojo ir vidutinio verslo plėtros įstatymas;</w:t>
            </w:r>
          </w:p>
          <w:p w14:paraId="5C5D81E4" w14:textId="77777777" w:rsidR="00E55C1F" w:rsidRDefault="008E1F26">
            <w:pPr>
              <w:jc w:val="both"/>
              <w:rPr>
                <w:szCs w:val="24"/>
                <w:lang w:eastAsia="lt-LT"/>
              </w:rPr>
            </w:pPr>
            <w:r>
              <w:rPr>
                <w:szCs w:val="24"/>
                <w:lang w:eastAsia="lt-LT"/>
              </w:rPr>
              <w:t>1.1.12. Lietuvos Respublikos technologijų ir inovacijų įstatymas;</w:t>
            </w:r>
          </w:p>
          <w:p w14:paraId="0A4CF813" w14:textId="77777777" w:rsidR="00E55C1F" w:rsidRDefault="008E1F26">
            <w:pPr>
              <w:tabs>
                <w:tab w:val="left" w:pos="783"/>
              </w:tabs>
              <w:jc w:val="both"/>
              <w:rPr>
                <w:szCs w:val="24"/>
              </w:rPr>
            </w:pPr>
            <w:r>
              <w:rPr>
                <w:szCs w:val="24"/>
              </w:rPr>
              <w:t>1.1.13. Lietuvos Respublikos strateginio valdymo įstatymas;</w:t>
            </w:r>
          </w:p>
          <w:p w14:paraId="45D5A820" w14:textId="77777777" w:rsidR="00E55C1F" w:rsidRDefault="008E1F26">
            <w:pPr>
              <w:jc w:val="both"/>
            </w:pPr>
            <w:r>
              <w:t>1.1.14. Strateginio valdymo metodika, patvirtinta Lietuvos Respublikos Vyriausybės 2021 m. balandžio 28 d. nutarimu Nr. 292 „Dėl Strateginio valdymo metodikos patvirtinimo“;</w:t>
            </w:r>
          </w:p>
          <w:p w14:paraId="309FA872" w14:textId="77777777" w:rsidR="00E55C1F" w:rsidRDefault="008E1F26">
            <w:pPr>
              <w:jc w:val="both"/>
            </w:pPr>
            <w:r>
              <w:rPr>
                <w:color w:val="000000"/>
                <w:szCs w:val="24"/>
                <w:lang w:eastAsia="lt-LT"/>
              </w:rPr>
              <w:t xml:space="preserve">1.1.15. </w:t>
            </w:r>
            <w:r>
              <w:t>Nacionalinė klimato kaitos valdymo darbotvarkė, patvirtinta Lietuvos Respublikos Seimo 2021 m. birželio 30 d. nutarimu Nr. XIV-490 „Dėl Nacionalinės klimato kaitos valdymo darbotvarkės patvirtinimo“;</w:t>
            </w:r>
          </w:p>
          <w:p w14:paraId="780DE890" w14:textId="77777777" w:rsidR="00E55C1F" w:rsidRDefault="008E1F26">
            <w:pPr>
              <w:tabs>
                <w:tab w:val="left" w:pos="600"/>
              </w:tabs>
              <w:jc w:val="both"/>
              <w:rPr>
                <w:szCs w:val="24"/>
              </w:rPr>
            </w:pPr>
            <w:r>
              <w:rPr>
                <w:szCs w:val="24"/>
              </w:rPr>
              <w:t>1.1.16. 2021–2030 metų nacionalinis pažangos planas, patvirtintas Lietuvos Respublikos Vyriausybės 2020 m. rugsėjo 9 d. nutarimu Nr. 998 „Dėl 2021–2030 metų nacionalinio pažangos plano patvirtinimo“;</w:t>
            </w:r>
          </w:p>
          <w:p w14:paraId="489FE3A2" w14:textId="77777777" w:rsidR="00E55C1F" w:rsidRDefault="008E1F26">
            <w:pPr>
              <w:tabs>
                <w:tab w:val="left" w:pos="600"/>
              </w:tabs>
              <w:jc w:val="both"/>
              <w:rPr>
                <w:szCs w:val="24"/>
              </w:rPr>
            </w:pPr>
            <w:r>
              <w:rPr>
                <w:szCs w:val="24"/>
              </w:rPr>
              <w:t>1.1.17. 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w:t>
            </w:r>
          </w:p>
          <w:p w14:paraId="38EC997D" w14:textId="77777777" w:rsidR="00E55C1F" w:rsidRDefault="008E1F26">
            <w:pPr>
              <w:tabs>
                <w:tab w:val="left" w:pos="600"/>
              </w:tabs>
              <w:jc w:val="both"/>
              <w:rPr>
                <w:szCs w:val="24"/>
              </w:rPr>
            </w:pPr>
            <w:r>
              <w:rPr>
                <w:szCs w:val="24"/>
              </w:rPr>
              <w:t>1.1.18.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7C92FDE" w14:textId="77777777" w:rsidR="00E55C1F" w:rsidRDefault="008E1F26">
            <w:pPr>
              <w:tabs>
                <w:tab w:val="left" w:pos="600"/>
              </w:tabs>
              <w:jc w:val="both"/>
              <w:rPr>
                <w:szCs w:val="24"/>
              </w:rPr>
            </w:pPr>
            <w:r>
              <w:rPr>
                <w:szCs w:val="24"/>
              </w:rPr>
              <w:t>1.1.19.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w:t>
            </w:r>
          </w:p>
          <w:p w14:paraId="2C3E4139" w14:textId="77777777" w:rsidR="00E55C1F" w:rsidRDefault="008E1F26">
            <w:pPr>
              <w:tabs>
                <w:tab w:val="left" w:pos="783"/>
              </w:tabs>
              <w:jc w:val="both"/>
              <w:rPr>
                <w:bCs/>
                <w:szCs w:val="24"/>
              </w:rPr>
            </w:pPr>
            <w:r>
              <w:rPr>
                <w:szCs w:val="24"/>
              </w:rPr>
              <w:lastRenderedPageBreak/>
              <w:t xml:space="preserve">1.1.20. </w:t>
            </w:r>
            <w:r>
              <w:rPr>
                <w:bCs/>
                <w:szCs w:val="24"/>
              </w:rPr>
              <w:t>Motorinių transporto priemonių ir jų priekabų kategorijų ir klasių pagal konstrukciją reikalavimai, patvirtinti Lietuvos transporto saugos administracijos direktoriaus 2008 m. gruodžio 2 d. įsakymu Nr. 2B-479 „Dėl Motorinių transporto priemonių ir jų priekabų kategorijų ir klasių pagal konstrukciją reikalavimų patvirtinimo“;</w:t>
            </w:r>
          </w:p>
          <w:p w14:paraId="6B58FEEC" w14:textId="77777777" w:rsidR="00E55C1F" w:rsidRDefault="008E1F26">
            <w:pPr>
              <w:tabs>
                <w:tab w:val="left" w:pos="783"/>
              </w:tabs>
              <w:jc w:val="both"/>
              <w:rPr>
                <w:color w:val="292728"/>
                <w:szCs w:val="24"/>
              </w:rPr>
            </w:pPr>
            <w:r>
              <w:rPr>
                <w:szCs w:val="24"/>
              </w:rPr>
              <w:t>1.1.21. Viešojo transporto priemonių pritaikymo neįgaliesiems ir riboto judumo asmenims reikalavimų aprašas, patvirtintas Lietuvos Respublikos susisiekimo ministro 2022 m. rugsėjo 19 d. įsakymu Nr. 3-439 „Dėl Viešojo transporto priemonių pritaikymo neįgaliesiems ir riboto judumo asmenims reikalavimų aprašo patvirtinimo“ (toliau – Viešojo transporto priemonių pritaikymo neįgaliesiems ir riboto judumo asmenims reikalavimų aprašas).</w:t>
            </w:r>
          </w:p>
          <w:p w14:paraId="50388E0F" w14:textId="77777777" w:rsidR="00E55C1F" w:rsidRDefault="008E1F26">
            <w:pPr>
              <w:jc w:val="both"/>
              <w:rPr>
                <w:i/>
                <w:iCs/>
                <w:sz w:val="22"/>
                <w:szCs w:val="22"/>
              </w:rPr>
            </w:pPr>
            <w:r>
              <w:rPr>
                <w:szCs w:val="24"/>
              </w:rPr>
              <w:t>1.2.</w:t>
            </w:r>
            <w:r>
              <w:rPr>
                <w:szCs w:val="24"/>
                <w:lang w:eastAsia="lt-LT"/>
              </w:rPr>
              <w:t xml:space="preserve"> Apraše vartojamos sąvokos</w:t>
            </w:r>
            <w:r>
              <w:rPr>
                <w:szCs w:val="24"/>
              </w:rPr>
              <w:t xml:space="preserve"> suprantamos taip, kaip jos apibrėžtos Aprašo 1.1 papunktyje nurodytuose teisės aktuose.</w:t>
            </w:r>
          </w:p>
        </w:tc>
      </w:tr>
      <w:tr w:rsidR="00E55C1F" w14:paraId="3166DDF9" w14:textId="77777777">
        <w:tc>
          <w:tcPr>
            <w:tcW w:w="15134" w:type="dxa"/>
          </w:tcPr>
          <w:p w14:paraId="5B178C1B" w14:textId="77777777" w:rsidR="00E55C1F" w:rsidRDefault="008E1F26">
            <w:pPr>
              <w:rPr>
                <w:b/>
                <w:szCs w:val="24"/>
              </w:rPr>
            </w:pPr>
            <w:r>
              <w:rPr>
                <w:b/>
                <w:szCs w:val="24"/>
              </w:rPr>
              <w:lastRenderedPageBreak/>
              <w:t>2. Reikalavimai projektams, pareiškėjams ir partneriams</w:t>
            </w:r>
          </w:p>
        </w:tc>
      </w:tr>
      <w:tr w:rsidR="00E55C1F" w14:paraId="281A0F79" w14:textId="77777777">
        <w:tc>
          <w:tcPr>
            <w:tcW w:w="15134" w:type="dxa"/>
          </w:tcPr>
          <w:p w14:paraId="525E5E17" w14:textId="77777777" w:rsidR="00E55C1F" w:rsidRDefault="008E1F26">
            <w:pPr>
              <w:jc w:val="both"/>
              <w:rPr>
                <w:szCs w:val="24"/>
                <w:lang w:eastAsia="lt-LT"/>
              </w:rPr>
            </w:pPr>
            <w:r>
              <w:rPr>
                <w:szCs w:val="24"/>
                <w:lang w:eastAsia="lt-LT"/>
              </w:rPr>
              <w:t xml:space="preserve">2.1. </w:t>
            </w:r>
            <w:r>
              <w:rPr>
                <w:szCs w:val="24"/>
              </w:rPr>
              <w:t xml:space="preserve">Pagal Aprašą finansuojama veikla </w:t>
            </w:r>
            <w:r>
              <w:rPr>
                <w:szCs w:val="24"/>
                <w:lang w:eastAsia="lt-LT"/>
              </w:rPr>
              <w:t>– m</w:t>
            </w:r>
            <w:r>
              <w:rPr>
                <w:szCs w:val="24"/>
              </w:rPr>
              <w:t xml:space="preserve">iesto ir priemiestinio viešojo transporto priemonių parko atnaujinimas, skatinant naudoti visai netaršias transporto priemones, t. y. </w:t>
            </w:r>
            <w:r>
              <w:rPr>
                <w:szCs w:val="24"/>
                <w:shd w:val="clear" w:color="auto" w:fill="FFFFFF"/>
              </w:rPr>
              <w:t xml:space="preserve">M2 arba M3 kategorijos </w:t>
            </w:r>
            <w:r>
              <w:rPr>
                <w:szCs w:val="24"/>
              </w:rPr>
              <w:t xml:space="preserve">elektra varomų (be vidaus degimo variklio, kurioje energija mechaniniam judesiui atlikti tiekiama tik iš elektros energijos kaupimo sistemos, kuri įkraunama iš išorės) ir vandeniliu pildomų (varomų kuro elementu, kuriame iš vandenilio gauta cheminė energija paverčiama elektros energija, skirta transporto priemonei varyti) viešojo transporto priemonių (toliau </w:t>
            </w:r>
            <w:r>
              <w:rPr>
                <w:szCs w:val="24"/>
                <w:lang w:eastAsia="lt-LT"/>
              </w:rPr>
              <w:t xml:space="preserve">– visai netaršios transporto priemonės) </w:t>
            </w:r>
            <w:r>
              <w:rPr>
                <w:szCs w:val="24"/>
              </w:rPr>
              <w:t xml:space="preserve">įsigijimas bei </w:t>
            </w:r>
            <w:r>
              <w:rPr>
                <w:rFonts w:eastAsia="Calibri"/>
                <w:szCs w:val="24"/>
                <w:lang w:eastAsia="lt-LT"/>
              </w:rPr>
              <w:t xml:space="preserve">kartu su jomis įsigyjama </w:t>
            </w:r>
            <w:r>
              <w:rPr>
                <w:szCs w:val="24"/>
              </w:rPr>
              <w:t xml:space="preserve">elektros energijai į transporto priemones tiekti skirta infrastruktūra: įkrovimo stotelės, pantografai, induktyvieji įrenginiai ir  vandenilio pildymo punktai (toliau </w:t>
            </w:r>
            <w:r>
              <w:rPr>
                <w:szCs w:val="24"/>
                <w:lang w:eastAsia="lt-LT"/>
              </w:rPr>
              <w:t xml:space="preserve">– transporto priemonių </w:t>
            </w:r>
            <w:r>
              <w:rPr>
                <w:szCs w:val="24"/>
                <w:shd w:val="clear" w:color="auto" w:fill="FFFFFF"/>
              </w:rPr>
              <w:t>įkrovimo / pildymo</w:t>
            </w:r>
            <w:r>
              <w:rPr>
                <w:szCs w:val="24"/>
                <w:lang w:eastAsia="lt-LT"/>
              </w:rPr>
              <w:t xml:space="preserve"> infrastruktūra)</w:t>
            </w:r>
            <w:r>
              <w:rPr>
                <w:szCs w:val="24"/>
              </w:rPr>
              <w:t>. Pagal Aprašą nefinansuojama tr</w:t>
            </w:r>
            <w:r>
              <w:rPr>
                <w:szCs w:val="24"/>
                <w:lang w:eastAsia="lt-LT"/>
              </w:rPr>
              <w:t xml:space="preserve">ansporto priemonių </w:t>
            </w:r>
            <w:r>
              <w:rPr>
                <w:szCs w:val="24"/>
                <w:shd w:val="clear" w:color="auto" w:fill="FFFFFF"/>
              </w:rPr>
              <w:t>įkrovimo / pildymo</w:t>
            </w:r>
            <w:r>
              <w:rPr>
                <w:szCs w:val="24"/>
                <w:lang w:eastAsia="lt-LT"/>
              </w:rPr>
              <w:t xml:space="preserve"> infrastruktūros plėtra, jeigu įgyvendinant projektą n</w:t>
            </w:r>
            <w:r>
              <w:rPr>
                <w:szCs w:val="24"/>
              </w:rPr>
              <w:t xml:space="preserve">eįsigyjamos </w:t>
            </w:r>
            <w:r>
              <w:rPr>
                <w:szCs w:val="24"/>
                <w:lang w:eastAsia="lt-LT"/>
              </w:rPr>
              <w:t>visai netaršios transporto priemonės.</w:t>
            </w:r>
          </w:p>
          <w:p w14:paraId="094C80E2" w14:textId="77777777" w:rsidR="00E55C1F" w:rsidRDefault="008E1F26">
            <w:pPr>
              <w:jc w:val="both"/>
              <w:rPr>
                <w:strike/>
                <w:szCs w:val="24"/>
              </w:rPr>
            </w:pPr>
            <w:r>
              <w:rPr>
                <w:szCs w:val="24"/>
                <w:lang w:eastAsia="lt-LT"/>
              </w:rPr>
              <w:t>2.2. Galimi pareiškėjai – juridiniai asmenys,</w:t>
            </w:r>
            <w:r>
              <w:rPr>
                <w:rFonts w:eastAsia="Calibri"/>
                <w:szCs w:val="24"/>
              </w:rPr>
              <w:t xml:space="preserve"> su kuriais sudarytos viešųjų paslaugų teikimo sutartys </w:t>
            </w:r>
            <w:r>
              <w:rPr>
                <w:szCs w:val="24"/>
                <w:lang w:eastAsia="lt-LT"/>
              </w:rPr>
              <w:t xml:space="preserve">vykdyti keleivių vežimo veiklą savivaldybių, </w:t>
            </w:r>
            <w:r>
              <w:rPr>
                <w:szCs w:val="24"/>
              </w:rPr>
              <w:t>kurios 2014–2020 m. Europos Sąjungos fondų investicijų veiksmų programos lėšomis nerengė ir neįgyvendino darnaus judumo mieste planų: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bei Elektrėnų, Kalvarijos, Kazlų Rūdos, Pagėgių ir Rietavo, teritorijose.</w:t>
            </w:r>
          </w:p>
          <w:p w14:paraId="56F9207D" w14:textId="77777777" w:rsidR="00E55C1F" w:rsidRDefault="008E1F26">
            <w:pPr>
              <w:tabs>
                <w:tab w:val="left" w:pos="426"/>
              </w:tabs>
              <w:jc w:val="both"/>
              <w:rPr>
                <w:szCs w:val="24"/>
                <w:lang w:eastAsia="lt-LT"/>
              </w:rPr>
            </w:pPr>
            <w:r>
              <w:rPr>
                <w:szCs w:val="24"/>
              </w:rPr>
              <w:t xml:space="preserve">2.3. </w:t>
            </w:r>
            <w:r>
              <w:rPr>
                <w:rFonts w:eastAsia="Calibri"/>
                <w:szCs w:val="24"/>
              </w:rPr>
              <w:t>Projektas vykdomas be partnerių.</w:t>
            </w:r>
          </w:p>
          <w:p w14:paraId="2E6032B4" w14:textId="77777777" w:rsidR="00E55C1F" w:rsidRDefault="008E1F26">
            <w:pPr>
              <w:tabs>
                <w:tab w:val="left" w:pos="600"/>
              </w:tabs>
              <w:jc w:val="both"/>
              <w:rPr>
                <w:szCs w:val="24"/>
              </w:rPr>
            </w:pPr>
            <w:r>
              <w:rPr>
                <w:szCs w:val="24"/>
              </w:rPr>
              <w:t>2.4. Pagal Aprašą teikiamo finansavimo forma – dotacija.</w:t>
            </w:r>
          </w:p>
          <w:p w14:paraId="3B85EE52" w14:textId="77777777" w:rsidR="00E55C1F" w:rsidRDefault="008E1F26">
            <w:pPr>
              <w:jc w:val="both"/>
              <w:rPr>
                <w:iCs/>
                <w:szCs w:val="24"/>
              </w:rPr>
            </w:pPr>
            <w:r>
              <w:rPr>
                <w:szCs w:val="24"/>
              </w:rPr>
              <w:t>2.5. Pagal 2022–2030 metų plėtros programos valdytojos Lietuvos Respublikos susisiekimo ministerijos susisiekimo plėtros programos pažangos priemonės Nr. 10-001-06-01-01 „Skatinti alternatyviųjų degalų naudojimą transporto sektoriuje“ 3 veiklą „Miesto ir priemiestinio viešojo transporto priemonių parko atnaujinimas, skatinant naudoti visai netaršias transporto priemones“ (toliau – pažangos priemonės Nr. 10-001-06-01-01 3 veikla) projektams įgyvendinti skiriama iki 84 000 000 (aštuoniasdešimt keturių milijonų) eurų EGADP lėšų, iš jų iki 78</w:t>
            </w:r>
            <w:r>
              <w:rPr>
                <w:iCs/>
                <w:szCs w:val="24"/>
              </w:rPr>
              <w:t xml:space="preserve"> 000 000 (septyniasdešimt aštuonių milijonų) eurų (iš jų jau iki </w:t>
            </w:r>
            <w:r>
              <w:rPr>
                <w:szCs w:val="24"/>
                <w:shd w:val="clear" w:color="auto" w:fill="FFFFFF"/>
              </w:rPr>
              <w:t>15 181 510,95 euro (penkiolikos milijonų vieno šimto aštuoniasdešimt vieno tūkstančio penkių šimtų dešimties eurų 95 ct paskirstyta projektams pagal</w:t>
            </w:r>
            <w:r>
              <w:rPr>
                <w:szCs w:val="24"/>
              </w:rPr>
              <w:t xml:space="preserve"> projektų konkurso</w:t>
            </w:r>
            <w:r>
              <w:rPr>
                <w:szCs w:val="24"/>
                <w:shd w:val="clear" w:color="auto" w:fill="FFFFFF"/>
              </w:rPr>
              <w:t xml:space="preserve"> kvietimą Nr.</w:t>
            </w:r>
            <w:r>
              <w:rPr>
                <w:iCs/>
                <w:szCs w:val="24"/>
              </w:rPr>
              <w:t xml:space="preserve"> </w:t>
            </w:r>
            <w:r>
              <w:rPr>
                <w:szCs w:val="24"/>
              </w:rPr>
              <w:t xml:space="preserve">08-009-K „Miesto ir priemiestinio viešojo transporto priemonių parko atnaujinimas, skatinant naudoti visai netaršias transporto priemones“ (toliau </w:t>
            </w:r>
            <w:r>
              <w:rPr>
                <w:szCs w:val="24"/>
                <w:lang w:eastAsia="lt-LT"/>
              </w:rPr>
              <w:t xml:space="preserve">– </w:t>
            </w:r>
            <w:r>
              <w:rPr>
                <w:szCs w:val="24"/>
                <w:shd w:val="clear" w:color="auto" w:fill="FFFFFF"/>
              </w:rPr>
              <w:t>kvietimas Nr.</w:t>
            </w:r>
            <w:r>
              <w:rPr>
                <w:iCs/>
                <w:szCs w:val="24"/>
              </w:rPr>
              <w:t xml:space="preserve"> </w:t>
            </w:r>
            <w:r>
              <w:rPr>
                <w:szCs w:val="24"/>
              </w:rPr>
              <w:t xml:space="preserve">08-009-K) </w:t>
            </w:r>
            <w:r>
              <w:rPr>
                <w:iCs/>
                <w:szCs w:val="24"/>
              </w:rPr>
              <w:t xml:space="preserve">visai netaršių viešojo transporto priemonių įsigijimui skatinti bei iki 6 000 000 (šešių milijonų) eurų (iš jų jau iki </w:t>
            </w:r>
            <w:r>
              <w:rPr>
                <w:szCs w:val="24"/>
                <w:shd w:val="clear" w:color="auto" w:fill="FFFFFF"/>
              </w:rPr>
              <w:t>533 558,29</w:t>
            </w:r>
            <w:r>
              <w:rPr>
                <w:iCs/>
                <w:szCs w:val="24"/>
              </w:rPr>
              <w:t xml:space="preserve"> euro (penkių šimtų trisdešimt trijų tūkstančių penkių šimtų penkiasdešimt aštuonių eurų 29 ct </w:t>
            </w:r>
            <w:r>
              <w:rPr>
                <w:szCs w:val="24"/>
                <w:shd w:val="clear" w:color="auto" w:fill="FFFFFF"/>
              </w:rPr>
              <w:t>paskirstyta projektams pagal</w:t>
            </w:r>
            <w:r>
              <w:rPr>
                <w:szCs w:val="24"/>
              </w:rPr>
              <w:t xml:space="preserve"> </w:t>
            </w:r>
            <w:r>
              <w:rPr>
                <w:szCs w:val="24"/>
                <w:shd w:val="clear" w:color="auto" w:fill="FFFFFF"/>
              </w:rPr>
              <w:t>kvietimą Nr.</w:t>
            </w:r>
            <w:r>
              <w:rPr>
                <w:iCs/>
                <w:szCs w:val="24"/>
              </w:rPr>
              <w:t xml:space="preserve"> </w:t>
            </w:r>
            <w:r>
              <w:rPr>
                <w:szCs w:val="24"/>
              </w:rPr>
              <w:t>08-009-K)</w:t>
            </w:r>
            <w:r>
              <w:rPr>
                <w:iCs/>
                <w:szCs w:val="24"/>
              </w:rPr>
              <w:t xml:space="preserve"> transporto priemonių </w:t>
            </w:r>
            <w:r>
              <w:rPr>
                <w:szCs w:val="24"/>
                <w:shd w:val="clear" w:color="auto" w:fill="FFFFFF"/>
              </w:rPr>
              <w:t>įkrovimo / pildymo</w:t>
            </w:r>
            <w:r>
              <w:rPr>
                <w:iCs/>
                <w:szCs w:val="24"/>
              </w:rPr>
              <w:t xml:space="preserve"> infrastruktūros plėtrai.</w:t>
            </w:r>
            <w:r>
              <w:rPr>
                <w:szCs w:val="24"/>
                <w:shd w:val="clear" w:color="auto" w:fill="FFFFFF"/>
              </w:rPr>
              <w:t xml:space="preserve"> Pagal Aprašą projektams įgyvendinti skiriama iki 62 818 489,05 euro (šešiasdešimt dviejų milijonų aštuonių šimtų aštuoniolikos tūkstančių keturių šimtų aštuoniasdešimt devynių eurų 5 ct)</w:t>
            </w:r>
            <w:r>
              <w:rPr>
                <w:szCs w:val="24"/>
              </w:rPr>
              <w:t xml:space="preserve"> EGADP lėšų </w:t>
            </w:r>
            <w:r>
              <w:rPr>
                <w:iCs/>
                <w:szCs w:val="24"/>
              </w:rPr>
              <w:t>visai netaršių viešojo transporto priemonių įsigijimui skatinti ir iki</w:t>
            </w:r>
            <w:r>
              <w:rPr>
                <w:szCs w:val="24"/>
              </w:rPr>
              <w:t xml:space="preserve"> 5 466 441,71 euro (penkių milijonų keturių šimtų šešiasdešimt šešių tūkstančių keturių šimtų keturiasdešimt vieno euro 71 ct) </w:t>
            </w:r>
            <w:r>
              <w:rPr>
                <w:iCs/>
                <w:szCs w:val="24"/>
              </w:rPr>
              <w:t xml:space="preserve">transporto priemonių </w:t>
            </w:r>
            <w:r>
              <w:rPr>
                <w:szCs w:val="24"/>
                <w:shd w:val="clear" w:color="auto" w:fill="FFFFFF"/>
              </w:rPr>
              <w:t>įkrovimo / pildymo</w:t>
            </w:r>
            <w:r>
              <w:rPr>
                <w:iCs/>
                <w:szCs w:val="24"/>
              </w:rPr>
              <w:t xml:space="preserve"> infrastruktūros plėtrai.</w:t>
            </w:r>
          </w:p>
          <w:p w14:paraId="1C148BD8" w14:textId="77777777" w:rsidR="00E55C1F" w:rsidRDefault="008E1F26">
            <w:pPr>
              <w:jc w:val="both"/>
              <w:rPr>
                <w:szCs w:val="24"/>
              </w:rPr>
            </w:pPr>
            <w:r>
              <w:rPr>
                <w:szCs w:val="24"/>
              </w:rPr>
              <w:lastRenderedPageBreak/>
              <w:t xml:space="preserve">2.6. </w:t>
            </w:r>
            <w:r>
              <w:rPr>
                <w:szCs w:val="24"/>
                <w:shd w:val="clear" w:color="auto" w:fill="FFFFFF"/>
              </w:rPr>
              <w:t>Projektui skiriamos finansavimo lėšos yra valstybės pagalba, kurios dydis nustatomas pagal Aprašo 8.3 ir 8.4 papunkčių nuostatas. Finansavimo intensyvumas nustatomas kaip skirto finansavimo santykis su projekto tinkamų finansuoti išlaidų suma. Projektui skirtų finansavimo išlaidų suma išmokama pagal projekto sutartyje nustatytą finansavimo intensyvumą. Vieno pareiškėjo vienam investiciniam projektui dotacijos dydis negali viršyti 10 000 000 (dešimties milijonų) eurų.</w:t>
            </w:r>
          </w:p>
          <w:p w14:paraId="5B459EF4" w14:textId="77777777" w:rsidR="00E55C1F" w:rsidRDefault="008E1F26">
            <w:pPr>
              <w:jc w:val="both"/>
              <w:rPr>
                <w:rFonts w:eastAsia="Calibri"/>
                <w:szCs w:val="24"/>
                <w:lang w:eastAsia="lt-LT"/>
              </w:rPr>
            </w:pPr>
            <w:r>
              <w:rPr>
                <w:szCs w:val="24"/>
              </w:rPr>
              <w:t>2.7. V</w:t>
            </w:r>
            <w:r>
              <w:rPr>
                <w:rFonts w:eastAsia="Calibri"/>
                <w:szCs w:val="24"/>
                <w:lang w:eastAsia="lt-LT"/>
              </w:rPr>
              <w:t xml:space="preserve">ienai įsigyjamai visai netaršiai viešojo transporto priemonei pagal Aprašą finansuojama suma negali viršyti: </w:t>
            </w:r>
            <w:r>
              <w:rPr>
                <w:szCs w:val="24"/>
              </w:rPr>
              <w:t>elektra varomai</w:t>
            </w:r>
            <w:r>
              <w:rPr>
                <w:rFonts w:eastAsia="Calibri"/>
                <w:szCs w:val="24"/>
                <w:lang w:eastAsia="lt-LT"/>
              </w:rPr>
              <w:t xml:space="preserve"> </w:t>
            </w:r>
            <w:r>
              <w:rPr>
                <w:szCs w:val="24"/>
              </w:rPr>
              <w:t xml:space="preserve">– 200 000 (dviejų šimtų tūkstančių) eurų, vandeniliu pildomai – </w:t>
            </w:r>
            <w:r>
              <w:rPr>
                <w:rFonts w:eastAsia="Calibri"/>
                <w:szCs w:val="24"/>
                <w:lang w:eastAsia="lt-LT"/>
              </w:rPr>
              <w:t>300 000 (trijų šimtų tūkstančių) eurų.</w:t>
            </w:r>
          </w:p>
          <w:p w14:paraId="18EFED68" w14:textId="77777777" w:rsidR="00E55C1F" w:rsidRDefault="008E1F26">
            <w:pPr>
              <w:widowControl w:val="0"/>
              <w:ind w:left="22"/>
              <w:jc w:val="both"/>
              <w:rPr>
                <w:szCs w:val="24"/>
              </w:rPr>
            </w:pPr>
            <w:r>
              <w:rPr>
                <w:rFonts w:eastAsia="Calibri"/>
                <w:szCs w:val="24"/>
                <w:lang w:eastAsia="lt-LT"/>
              </w:rPr>
              <w:t xml:space="preserve">2.8. Projekto lėšomis finansuojama tik pareiškėjo </w:t>
            </w:r>
            <w:r>
              <w:rPr>
                <w:szCs w:val="24"/>
              </w:rPr>
              <w:t>pagal Aprašą numatomoms įsigyti</w:t>
            </w:r>
            <w:r>
              <w:rPr>
                <w:szCs w:val="24"/>
                <w:shd w:val="clear" w:color="auto" w:fill="FFFFFF"/>
              </w:rPr>
              <w:t xml:space="preserve"> visai netaršioms transporto priemonėms skirta įkrauti / pildyti būtina infrastruktūra,</w:t>
            </w:r>
            <w:r>
              <w:rPr>
                <w:rFonts w:eastAsia="Calibri"/>
                <w:szCs w:val="24"/>
                <w:lang w:eastAsia="lt-LT"/>
              </w:rPr>
              <w:t xml:space="preserve"> kuriai finansavimas skiriamas atsižvelgiant į R</w:t>
            </w:r>
            <w:r>
              <w:rPr>
                <w:szCs w:val="24"/>
              </w:rPr>
              <w:t xml:space="preserve">eglamento (ES) </w:t>
            </w:r>
            <w:r>
              <w:rPr>
                <w:szCs w:val="24"/>
                <w:shd w:val="clear" w:color="auto" w:fill="FFFFFF"/>
              </w:rPr>
              <w:t xml:space="preserve">2023/2831 </w:t>
            </w:r>
            <w:r>
              <w:rPr>
                <w:rFonts w:eastAsia="Calibri"/>
                <w:szCs w:val="24"/>
                <w:lang w:eastAsia="lt-LT"/>
              </w:rPr>
              <w:t xml:space="preserve">nuostatas, nurodytas Aprašo 8.6 papunktyje, </w:t>
            </w:r>
            <w:r>
              <w:rPr>
                <w:rFonts w:eastAsia="Calibri"/>
                <w:kern w:val="2"/>
                <w:szCs w:val="24"/>
                <w14:ligatures w14:val="standardContextual"/>
              </w:rPr>
              <w:t xml:space="preserve">ir iki tiek vienetų, kiek reikalinga įkrauti ir (ar) papildyti pagal Aprašą </w:t>
            </w:r>
            <w:r>
              <w:rPr>
                <w:szCs w:val="24"/>
              </w:rPr>
              <w:t>numatomoms įsigyti</w:t>
            </w:r>
            <w:r>
              <w:rPr>
                <w:rFonts w:eastAsia="Calibri"/>
                <w:kern w:val="2"/>
                <w:szCs w:val="24"/>
                <w14:ligatures w14:val="standardContextual"/>
              </w:rPr>
              <w:t xml:space="preserve"> transporto priemonėms. </w:t>
            </w:r>
            <w:r>
              <w:rPr>
                <w:rFonts w:eastAsia="Calibri"/>
                <w:szCs w:val="24"/>
                <w:lang w:eastAsia="lt-LT"/>
              </w:rPr>
              <w:t xml:space="preserve">Dotacija įkrovimo / pildymo infrastruktūros plėtrai skiriama iki pagal </w:t>
            </w:r>
            <w:r>
              <w:rPr>
                <w:iCs/>
                <w:szCs w:val="24"/>
              </w:rPr>
              <w:t>prioritetinius atrankos kriterijus nustatytą</w:t>
            </w:r>
            <w:r>
              <w:rPr>
                <w:szCs w:val="24"/>
              </w:rPr>
              <w:t xml:space="preserve"> PĮP eiliškumą bus paskirstyta visa Aprašo 2.5 papunktyje nurodyta </w:t>
            </w:r>
            <w:r>
              <w:rPr>
                <w:szCs w:val="24"/>
                <w:lang w:eastAsia="lt-LT"/>
              </w:rPr>
              <w:t>transporto priemonių</w:t>
            </w:r>
            <w:r>
              <w:rPr>
                <w:szCs w:val="24"/>
              </w:rPr>
              <w:t xml:space="preserve"> </w:t>
            </w:r>
            <w:r>
              <w:rPr>
                <w:szCs w:val="24"/>
                <w:shd w:val="clear" w:color="auto" w:fill="FFFFFF"/>
              </w:rPr>
              <w:t>įkrovimo / pildymo</w:t>
            </w:r>
            <w:r>
              <w:rPr>
                <w:szCs w:val="24"/>
              </w:rPr>
              <w:t xml:space="preserve"> infrastruktūros plėtrai finansuoti skirta lėšų suma.</w:t>
            </w:r>
          </w:p>
          <w:p w14:paraId="47735E6F" w14:textId="77777777" w:rsidR="00E55C1F" w:rsidRDefault="008E1F26">
            <w:pPr>
              <w:jc w:val="both"/>
              <w:rPr>
                <w:szCs w:val="24"/>
              </w:rPr>
            </w:pPr>
            <w:r>
              <w:rPr>
                <w:szCs w:val="24"/>
              </w:rPr>
              <w:t xml:space="preserve">2.9. </w:t>
            </w:r>
            <w:r>
              <w:rPr>
                <w:szCs w:val="24"/>
                <w:lang w:eastAsia="lt-LT"/>
              </w:rPr>
              <w:t>Projekto tinkamų finansuoti išlaidų dalis, kurios nepadengia projektui skiriamo finansavimo lėšos, ir netinkamos finansuoti projekto išlaidos turi būti finansuojamos iš pareiškėjo lėšų. Pareiškėjo nuosavų lėšų šaltiniai, iš kurių įgyvendinamas projektas ar jo dalis, turi būti aiškiai apibrėžti, patikimi, tinkami, pakankami ir realūs PĮP pateikimo metu. Pakankamai apibrėžtais, patikimais ir tinkamais nuosavų lėšų finansavimo šaltiniais gali būti laikoma:</w:t>
            </w:r>
          </w:p>
          <w:p w14:paraId="2FFAB63F" w14:textId="77777777" w:rsidR="00E55C1F" w:rsidRDefault="008E1F26">
            <w:pPr>
              <w:jc w:val="both"/>
              <w:rPr>
                <w:szCs w:val="24"/>
                <w:lang w:eastAsia="lt-LT"/>
              </w:rPr>
            </w:pPr>
            <w:r>
              <w:rPr>
                <w:szCs w:val="24"/>
                <w:lang w:eastAsia="lt-LT"/>
              </w:rPr>
              <w:t xml:space="preserve">2.9.1. kredito įstaigos paskola; jei pareiškėjo planuojamas nuosavų lėšų šaltinis yra kredito įstaigos paskola, pateikiamas preliminarus kredito įstaigos sprendimas suteikti paskolą, tačiau po sprendimo skirti finansavimą priėmimo, bet ne vėliau kaip per </w:t>
            </w:r>
            <w:r>
              <w:rPr>
                <w:szCs w:val="24"/>
              </w:rPr>
              <w:t xml:space="preserve">viešosios įstaigos Centrinė projektų valdymo agentūros (toliau – CPVA) </w:t>
            </w:r>
            <w:r>
              <w:rPr>
                <w:szCs w:val="24"/>
                <w:lang w:eastAsia="lt-LT"/>
              </w:rPr>
              <w:t>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402E5445" w14:textId="77777777" w:rsidR="00E55C1F" w:rsidRDefault="008E1F26">
            <w:pPr>
              <w:tabs>
                <w:tab w:val="left" w:pos="447"/>
              </w:tabs>
              <w:jc w:val="both"/>
              <w:rPr>
                <w:szCs w:val="24"/>
                <w:lang w:eastAsia="lt-LT"/>
              </w:rPr>
            </w:pPr>
            <w:r>
              <w:rPr>
                <w:szCs w:val="24"/>
                <w:lang w:eastAsia="lt-LT"/>
              </w:rPr>
              <w:t>2.9.2. pareiškėjo piniginės lėšos; su PĮP pateikiamas sprendimas, patvirtintas juridinio asmens atitinkamo valdymo organo ar asmens (asmenų grupės), turinčio (-ios) teisę priimti tokius sprendimus, kuriuo nutarta projektui įgyvendinti skirti tam tikrą lėšų sumą, ir informacija apie lėšų šaltinį (kredito įstaigos sąskaitos (-ų) išrašas ar kredito įstaigos pažyma apie pareiškėjo turimas lėšas, numatomos pajamos, pelnas, nepaskirstytini rezervai ar kt.).</w:t>
            </w:r>
          </w:p>
          <w:p w14:paraId="4C63BC8C" w14:textId="77777777" w:rsidR="00E55C1F" w:rsidRDefault="008E1F26">
            <w:pPr>
              <w:tabs>
                <w:tab w:val="left" w:pos="447"/>
              </w:tabs>
              <w:jc w:val="both"/>
              <w:rPr>
                <w:szCs w:val="24"/>
                <w:lang w:eastAsia="lt-LT"/>
              </w:rPr>
            </w:pPr>
            <w:r>
              <w:rPr>
                <w:szCs w:val="24"/>
              </w:rPr>
              <w:t xml:space="preserve">2.10. </w:t>
            </w:r>
            <w:r>
              <w:rPr>
                <w:szCs w:val="24"/>
                <w:lang w:eastAsia="lt-LT"/>
              </w:rPr>
              <w:t>Projektų atranka atliekama konkurso būdu, vadovaujantis prioritetiniais projektų atrankos kriterijais, nurodytais Aprašo 9.1 papunktyje. Už atitiktį prioritetiniams projektų atrankos kriterijams projektams skiriami balai. Maksimalus galimas balų skaičius pagal kiekvieną kriterijų nurodytas Aprašo 9.1 papunktyje.</w:t>
            </w:r>
          </w:p>
          <w:p w14:paraId="29452CC3" w14:textId="77777777" w:rsidR="00E55C1F" w:rsidRDefault="008E1F26">
            <w:pPr>
              <w:keepLines/>
              <w:tabs>
                <w:tab w:val="left" w:pos="510"/>
              </w:tabs>
              <w:ind w:left="22"/>
              <w:jc w:val="both"/>
              <w:outlineLvl w:val="1"/>
              <w:rPr>
                <w:szCs w:val="24"/>
              </w:rPr>
            </w:pPr>
            <w:r>
              <w:rPr>
                <w:szCs w:val="24"/>
              </w:rPr>
              <w:t>2.11. Projektų atranką vykdo ir įgyvendinimą administruoja CPVA.</w:t>
            </w:r>
          </w:p>
          <w:p w14:paraId="5DD30FE0" w14:textId="77777777" w:rsidR="00E55C1F" w:rsidRDefault="008E1F26">
            <w:pPr>
              <w:tabs>
                <w:tab w:val="left" w:pos="447"/>
              </w:tabs>
              <w:jc w:val="both"/>
              <w:rPr>
                <w:szCs w:val="24"/>
                <w:lang w:eastAsia="lt-LT"/>
              </w:rPr>
            </w:pPr>
            <w:r>
              <w:rPr>
                <w:szCs w:val="24"/>
              </w:rPr>
              <w:t>2.12. Vienas pareiškėjas vieno kvietimo teikti</w:t>
            </w:r>
            <w:r>
              <w:rPr>
                <w:szCs w:val="24"/>
                <w:lang w:eastAsia="lt-LT"/>
              </w:rPr>
              <w:t xml:space="preserve"> PĮP</w:t>
            </w:r>
            <w:r>
              <w:rPr>
                <w:szCs w:val="24"/>
              </w:rPr>
              <w:t xml:space="preserve"> metu gali pateikti tik vieną PĮP,</w:t>
            </w:r>
            <w:r>
              <w:rPr>
                <w:szCs w:val="24"/>
                <w:lang w:eastAsia="lt-LT"/>
              </w:rPr>
              <w:t xml:space="preserve"> parengtą pagal Projektų taisyklių 1 priedą.</w:t>
            </w:r>
          </w:p>
          <w:p w14:paraId="0514F8D1" w14:textId="77777777" w:rsidR="00E55C1F" w:rsidRDefault="008E1F26">
            <w:pPr>
              <w:jc w:val="both"/>
              <w:rPr>
                <w:rFonts w:eastAsia="Calibri"/>
                <w:szCs w:val="24"/>
              </w:rPr>
            </w:pPr>
            <w:r>
              <w:rPr>
                <w:iCs/>
                <w:szCs w:val="24"/>
              </w:rPr>
              <w:t>2.13. PĮP</w:t>
            </w:r>
            <w:r>
              <w:rPr>
                <w:szCs w:val="24"/>
              </w:rPr>
              <w:t xml:space="preserve"> teikiami, vertinami ir atrenkami vadovaujantis Projektų taisyklių III skyriaus antrajame skirsnyje, kvietime teikti PĮP nustatyta tvarka.</w:t>
            </w:r>
            <w:r>
              <w:rPr>
                <w:rFonts w:eastAsia="Calibri"/>
                <w:szCs w:val="24"/>
              </w:rPr>
              <w:t xml:space="preserve"> Jeigu CPVA dėl objektyvių priežasčių (pvz., trečiųjų šalių veika, elektroninės sistemos trukdžiai, atsiradusi būtinybė keisti teisės aktus bei kitos nuo CPVA nepriklausančios aplinkybės) negali PĮP įvertinti per nustatytą terminą, vertinimo terminas gali būti pratęstas CPVA sprendimu.</w:t>
            </w:r>
          </w:p>
          <w:p w14:paraId="109A27BF" w14:textId="77777777" w:rsidR="00E55C1F" w:rsidRDefault="008E1F26">
            <w:pPr>
              <w:tabs>
                <w:tab w:val="left" w:pos="426"/>
                <w:tab w:val="left" w:pos="567"/>
                <w:tab w:val="left" w:pos="743"/>
                <w:tab w:val="left" w:pos="910"/>
                <w:tab w:val="left" w:pos="1090"/>
              </w:tabs>
              <w:ind w:left="29"/>
              <w:jc w:val="both"/>
              <w:rPr>
                <w:iCs/>
                <w:szCs w:val="24"/>
              </w:rPr>
            </w:pPr>
            <w:r>
              <w:rPr>
                <w:rFonts w:eastAsia="Calibri"/>
                <w:szCs w:val="24"/>
              </w:rPr>
              <w:t xml:space="preserve">2.14. Pareiškėjas yra tiesiogiai atsakingas už projekto parengimą, įgyvendinimą, rezultatus ir turi užtikrinti, kad įsigytos visai netaršios viešojo transporto priemonės 5 metus po </w:t>
            </w:r>
            <w:r>
              <w:rPr>
                <w:szCs w:val="24"/>
              </w:rPr>
              <w:t>projekto finansavimo pabaigos</w:t>
            </w:r>
            <w:r>
              <w:rPr>
                <w:rFonts w:eastAsia="Calibri"/>
                <w:szCs w:val="24"/>
              </w:rPr>
              <w:t xml:space="preserve"> būtų naudojamos pagal Aprašo 2.2 papunktyje nurodytas viešųjų paslaugų teikimo sutartis (</w:t>
            </w:r>
            <w:r>
              <w:rPr>
                <w:szCs w:val="24"/>
                <w:shd w:val="clear" w:color="auto" w:fill="FFFFFF"/>
              </w:rPr>
              <w:t>detalūs poprojektiniam laikotarpiui taikomi reikalavimai nurodyti Aprašo 11 punkte)</w:t>
            </w:r>
            <w:r>
              <w:rPr>
                <w:rFonts w:eastAsia="Calibri"/>
                <w:szCs w:val="24"/>
              </w:rPr>
              <w:t>.</w:t>
            </w:r>
          </w:p>
          <w:p w14:paraId="04F3783F" w14:textId="77777777" w:rsidR="00E55C1F" w:rsidRDefault="008E1F26">
            <w:pPr>
              <w:jc w:val="both"/>
              <w:rPr>
                <w:szCs w:val="24"/>
                <w:lang w:eastAsia="lt-LT"/>
              </w:rPr>
            </w:pPr>
            <w:r>
              <w:rPr>
                <w:szCs w:val="24"/>
              </w:rPr>
              <w:t>2.15. Kiekvienas projektas turi atitikti:</w:t>
            </w:r>
          </w:p>
          <w:p w14:paraId="0B58C2A9" w14:textId="77777777" w:rsidR="00E55C1F" w:rsidRDefault="008E1F26">
            <w:pPr>
              <w:jc w:val="both"/>
              <w:rPr>
                <w:szCs w:val="24"/>
              </w:rPr>
            </w:pPr>
            <w:r>
              <w:rPr>
                <w:szCs w:val="24"/>
              </w:rPr>
              <w:t>2.15.1. bendruosius projektų atrankos kriterijus, kurių sąrašas ir vertinimo metodika nustatyti Projektų taisyklių 2 priede;</w:t>
            </w:r>
          </w:p>
          <w:p w14:paraId="67308297" w14:textId="77777777" w:rsidR="00E55C1F" w:rsidRDefault="008E1F26">
            <w:pPr>
              <w:jc w:val="both"/>
              <w:rPr>
                <w:szCs w:val="24"/>
              </w:rPr>
            </w:pPr>
            <w:r>
              <w:rPr>
                <w:szCs w:val="24"/>
              </w:rPr>
              <w:t>2.15.2. Apraše nurodytus reikalavimus;</w:t>
            </w:r>
          </w:p>
          <w:p w14:paraId="4B0ED9B5" w14:textId="77777777" w:rsidR="00E55C1F" w:rsidRDefault="008E1F26">
            <w:pPr>
              <w:jc w:val="both"/>
              <w:rPr>
                <w:szCs w:val="24"/>
              </w:rPr>
            </w:pPr>
            <w:r>
              <w:rPr>
                <w:szCs w:val="24"/>
              </w:rPr>
              <w:lastRenderedPageBreak/>
              <w:t>2.15.3. specialųjį ir prioritetinius atrankos kriterijus, nustatytus Aprašo 9.1 papunktyje;</w:t>
            </w:r>
          </w:p>
          <w:p w14:paraId="13C2E274" w14:textId="77777777" w:rsidR="00E55C1F" w:rsidRDefault="008E1F26">
            <w:pPr>
              <w:jc w:val="both"/>
              <w:rPr>
                <w:szCs w:val="24"/>
              </w:rPr>
            </w:pPr>
            <w:r>
              <w:rPr>
                <w:szCs w:val="24"/>
                <w:lang w:eastAsia="lt-LT"/>
              </w:rPr>
              <w:t>2.15.4. NKL plano reformos „</w:t>
            </w:r>
            <w:r>
              <w:rPr>
                <w:szCs w:val="24"/>
                <w:lang w:eastAsia="nl-BE"/>
              </w:rPr>
              <w:t>Judame neteršdami aplinkos“ investicijos tikslą „</w:t>
            </w:r>
            <w:r>
              <w:rPr>
                <w:szCs w:val="24"/>
              </w:rPr>
              <w:t>Parama netaršioms viešojo transporto priemonėms įsigyti</w:t>
            </w:r>
            <w:r>
              <w:rPr>
                <w:rFonts w:eastAsia="Calibri"/>
                <w:szCs w:val="24"/>
              </w:rPr>
              <w:t>“ ir siekiamą rezultatą „</w:t>
            </w:r>
            <w:r>
              <w:rPr>
                <w:szCs w:val="24"/>
              </w:rPr>
              <w:t>Pristatyta elektra ir vandeniliu varomų viešojo transporto priemonių (autobusų)“.</w:t>
            </w:r>
          </w:p>
          <w:p w14:paraId="36762C9F" w14:textId="77777777" w:rsidR="00E55C1F" w:rsidRDefault="008E1F26">
            <w:pPr>
              <w:tabs>
                <w:tab w:val="left" w:pos="612"/>
              </w:tabs>
              <w:jc w:val="both"/>
              <w:rPr>
                <w:szCs w:val="24"/>
                <w:lang w:eastAsia="lt-LT"/>
              </w:rPr>
            </w:pPr>
            <w:r>
              <w:rPr>
                <w:szCs w:val="24"/>
              </w:rPr>
              <w:t xml:space="preserve">2.16. </w:t>
            </w:r>
            <w:r>
              <w:rPr>
                <w:szCs w:val="24"/>
                <w:lang w:eastAsia="lt-LT"/>
              </w:rPr>
              <w:t>Projektas turi prisidėti prie Deleguotojo reglamento (ES) 2021/2106 priede nustatyto 9 bendrojo rodiklio „Paramą gavusių įmonių (iš kurių mažos, įskaitant labai mažas, vidutinės ir didelės) skaičius“.</w:t>
            </w:r>
          </w:p>
          <w:p w14:paraId="6E9A973E" w14:textId="77777777" w:rsidR="00E55C1F" w:rsidRDefault="008E1F26">
            <w:pPr>
              <w:jc w:val="both"/>
              <w:rPr>
                <w:szCs w:val="24"/>
                <w:lang w:eastAsia="lt-LT"/>
              </w:rPr>
            </w:pPr>
            <w:r>
              <w:rPr>
                <w:szCs w:val="24"/>
              </w:rPr>
              <w:t>2.17. P</w:t>
            </w:r>
            <w:r>
              <w:rPr>
                <w:szCs w:val="24"/>
                <w:lang w:eastAsia="lt-LT"/>
              </w:rPr>
              <w:t xml:space="preserve">rojekto veiklos turi šalinti </w:t>
            </w:r>
            <w:r>
              <w:rPr>
                <w:szCs w:val="24"/>
              </w:rPr>
              <w:t>2022–2030 metų plėtros programos valdytojos Lietuvos Respublikos susisiekimo ministerijos susisiekimo plėtros programoje</w:t>
            </w:r>
            <w:r>
              <w:rPr>
                <w:szCs w:val="24"/>
                <w:lang w:eastAsia="lt-LT"/>
              </w:rPr>
              <w:t xml:space="preserve"> nustatytą problemos „</w:t>
            </w:r>
            <w:r>
              <w:rPr>
                <w:szCs w:val="24"/>
              </w:rPr>
              <w:t>Transporto sektorius generuoja didžiausią šiltnamio efektą sukeliančių dujų (ŠESD) ir transportui būdingų oro teršalų dalį Lietuvoje“ priežastį – t</w:t>
            </w:r>
            <w:r>
              <w:rPr>
                <w:bCs/>
                <w:szCs w:val="24"/>
              </w:rPr>
              <w:t>rūksta alternatyviųjų netaršių transporto priemonių keleiviams ir kroviniams vežti</w:t>
            </w:r>
            <w:r>
              <w:rPr>
                <w:iCs/>
                <w:szCs w:val="24"/>
              </w:rPr>
              <w:t xml:space="preserve"> ir v</w:t>
            </w:r>
            <w:r>
              <w:rPr>
                <w:bCs/>
                <w:szCs w:val="24"/>
              </w:rPr>
              <w:t>iešasis transportas bei jo infrastruktūra nevisiškai pritaikyta individualių poreikių turintiems žmonėms</w:t>
            </w:r>
            <w:r>
              <w:rPr>
                <w:szCs w:val="24"/>
              </w:rPr>
              <w:t>.</w:t>
            </w:r>
          </w:p>
          <w:p w14:paraId="3BA90A4D" w14:textId="77777777" w:rsidR="00E55C1F" w:rsidRDefault="008E1F26">
            <w:pPr>
              <w:jc w:val="both"/>
              <w:rPr>
                <w:szCs w:val="24"/>
              </w:rPr>
            </w:pPr>
            <w:r>
              <w:rPr>
                <w:szCs w:val="24"/>
                <w:lang w:eastAsia="lt-LT"/>
              </w:rPr>
              <w:t xml:space="preserve">2.18. Planuojama projekto veiklų įgyvendinimo pabaiga ne </w:t>
            </w:r>
            <w:r>
              <w:rPr>
                <w:szCs w:val="24"/>
              </w:rPr>
              <w:t>vėlesnė kaip 2026 m. balandžio 1 d. Tam tikrais atvejais dėl objektyvių priežasčių, kurių pareiškėjas negalėjo numatyti PĮP pateikimo ir vertinimo metu, projekto įgyvendinimo trukmė gali būti pratęsta CPVA ir Ministerijos sprendimu Projektų taisyklių nustatyta tvarka, nepažeidžiant Projektų taisyklių 149.3 papunktyje nurodyto termino.</w:t>
            </w:r>
          </w:p>
          <w:p w14:paraId="5EFD11A6" w14:textId="77777777" w:rsidR="00E55C1F" w:rsidRDefault="008E1F26">
            <w:pPr>
              <w:tabs>
                <w:tab w:val="left" w:pos="589"/>
              </w:tabs>
              <w:jc w:val="both"/>
              <w:rPr>
                <w:szCs w:val="24"/>
              </w:rPr>
            </w:pPr>
            <w:r>
              <w:rPr>
                <w:szCs w:val="24"/>
              </w:rPr>
              <w:t>2.19. Siekiant užtikrint atitiktį Reglamento (ES) Nr. 651/2014 6 straipsnio nuostatoms, projekto veiklos gali būti pradėtos įgyvendinti tik pateikus (užregistravus) PĮP CPVA, tačiau projekto išlaidos nuo PĮP registravimo CPVA dienos iki projekto sutarties pasirašymo yra patiriamos pareiškėjo rizika. Projektui, kurio veiklos pradėtos įgyvendinti iki PĮP registravimo CPVA dienos, finansavimas nebus skiriamas.</w:t>
            </w:r>
          </w:p>
          <w:p w14:paraId="2D9AF9CD" w14:textId="77777777" w:rsidR="00E55C1F" w:rsidRDefault="008E1F26">
            <w:pPr>
              <w:tabs>
                <w:tab w:val="left" w:pos="447"/>
              </w:tabs>
              <w:jc w:val="both"/>
              <w:rPr>
                <w:szCs w:val="24"/>
                <w:lang w:eastAsia="lt-LT"/>
              </w:rPr>
            </w:pPr>
            <w:r>
              <w:rPr>
                <w:szCs w:val="24"/>
                <w:lang w:eastAsia="lt-LT"/>
              </w:rPr>
              <w:t xml:space="preserve">2.20. </w:t>
            </w:r>
            <w:r>
              <w:rPr>
                <w:szCs w:val="24"/>
              </w:rPr>
              <w:t>Pagal Aprašą finansavimas nėra skiriamas projektui, jeigu pareiškėjas yra įtrauktas į Finansinių nusikaltimų tyrimo tarnybos prie Lietuvos Respublikos vidaus reikalų ministerijos interneto svetainėje skelbiamą fizinių ir (arba) juridinių asmenų, turinčių sąsajų su subjektais, kuriems taikomos tarptautinės sankcijos, sąrašą</w:t>
            </w:r>
            <w:r>
              <w:rPr>
                <w:szCs w:val="24"/>
                <w:lang w:eastAsia="lt-LT"/>
              </w:rPr>
              <w:t>.</w:t>
            </w:r>
          </w:p>
          <w:p w14:paraId="2D6E07EA" w14:textId="77777777" w:rsidR="00E55C1F" w:rsidRDefault="008E1F26">
            <w:pPr>
              <w:tabs>
                <w:tab w:val="left" w:pos="447"/>
              </w:tabs>
              <w:jc w:val="both"/>
              <w:rPr>
                <w:szCs w:val="24"/>
              </w:rPr>
            </w:pPr>
            <w:r>
              <w:rPr>
                <w:szCs w:val="24"/>
                <w:lang w:eastAsia="lt-LT"/>
              </w:rPr>
              <w:t>2.21. Finansavimas neteikiamas projektams, vykdomiems ne Lietuvos Respublikos teritorijoje.</w:t>
            </w:r>
          </w:p>
          <w:p w14:paraId="713258B2" w14:textId="77777777" w:rsidR="00E55C1F" w:rsidRDefault="008E1F26">
            <w:pPr>
              <w:keepLines/>
              <w:tabs>
                <w:tab w:val="left" w:pos="600"/>
              </w:tabs>
              <w:jc w:val="both"/>
              <w:outlineLvl w:val="1"/>
              <w:rPr>
                <w:szCs w:val="24"/>
              </w:rPr>
            </w:pPr>
            <w:r>
              <w:rPr>
                <w:szCs w:val="24"/>
              </w:rPr>
              <w:t xml:space="preserve">2.22. </w:t>
            </w:r>
            <w:r>
              <w:rPr>
                <w:iCs/>
                <w:szCs w:val="24"/>
              </w:rPr>
              <w:t>Kartu su PĮP pareiškėjas turi CPVA pateikti užpildytus Projektų taisyklėse nustatytus PĮP priedus ir šiuos dokumentus arba informaciją:</w:t>
            </w:r>
          </w:p>
          <w:p w14:paraId="3381A9D0" w14:textId="77777777" w:rsidR="00E55C1F" w:rsidRDefault="008E1F26">
            <w:pPr>
              <w:jc w:val="both"/>
              <w:rPr>
                <w:szCs w:val="24"/>
              </w:rPr>
            </w:pPr>
            <w:r>
              <w:rPr>
                <w:szCs w:val="24"/>
              </w:rPr>
              <w:t>2.22.1. investicijų projektą kartu su investicijų skaičiuokle;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w:t>
            </w:r>
            <w:r>
              <w:rPr>
                <w:szCs w:val="24"/>
                <w:lang w:eastAsia="lt-LT"/>
              </w:rPr>
              <w:t xml:space="preserve"> „Dėl viešojo ir privataus sektorių partnerystės projektų rengimo ir įgyvendinimo metodinių rekomendacijų patvirtinimo“,</w:t>
            </w:r>
            <w:r>
              <w:rPr>
                <w:szCs w:val="24"/>
              </w:rPr>
              <w:t xml:space="preserve"> kuri skelbiama interneto svetainėje ppplietuva.lt skiltyje „Viešųjų investicijų projektų rengimas“ prie „Rengimas ir vertinimas“ </w:t>
            </w:r>
            <w:r>
              <w:rPr>
                <w:i/>
                <w:iCs/>
                <w:szCs w:val="24"/>
              </w:rPr>
              <w:t>(taikoma, kai investicijų suma, išskyrus (atėmus) jai tenkantį pirkimo ir (arba) importo pridėtinės vertės mokestį, viršija vieną milijoną eurų)</w:t>
            </w:r>
            <w:r>
              <w:rPr>
                <w:szCs w:val="24"/>
              </w:rPr>
              <w:t>;</w:t>
            </w:r>
          </w:p>
          <w:p w14:paraId="105C61DD" w14:textId="77777777" w:rsidR="00E55C1F" w:rsidRDefault="008E1F26">
            <w:pPr>
              <w:jc w:val="both"/>
              <w:rPr>
                <w:szCs w:val="24"/>
              </w:rPr>
            </w:pPr>
            <w:r>
              <w:rPr>
                <w:szCs w:val="24"/>
              </w:rPr>
              <w:t xml:space="preserve">2.22.2. viešojo keleivių vežimo paslaugų teikimo Aprašo </w:t>
            </w:r>
            <w:r>
              <w:rPr>
                <w:szCs w:val="24"/>
                <w:shd w:val="clear" w:color="auto" w:fill="FFFFFF"/>
                <w:lang w:eastAsia="lt-LT"/>
              </w:rPr>
              <w:t xml:space="preserve">2.2 papunktyje nurodytų </w:t>
            </w:r>
            <w:r>
              <w:rPr>
                <w:szCs w:val="24"/>
              </w:rPr>
              <w:t>savivaldybių teritorijose sutarties (-čių), pagal kurią (-ias) vykdoma keleivių vežimo veikla, kopijas;</w:t>
            </w:r>
          </w:p>
          <w:p w14:paraId="432311D5" w14:textId="77777777" w:rsidR="00E55C1F" w:rsidRDefault="008E1F26">
            <w:pPr>
              <w:jc w:val="both"/>
              <w:rPr>
                <w:szCs w:val="24"/>
              </w:rPr>
            </w:pPr>
            <w:r>
              <w:rPr>
                <w:szCs w:val="24"/>
              </w:rPr>
              <w:t>2.22.3. laisvos formos deklaraciją, kuria projekto tęstinumui užtikrinti pareiškėjas įsipareigoja dalyvauti Aprašo 2.2 papunktyje nurodytų savivaldybių vykdomųjų institucijų arba jų įgaliotų viešojo administravimo subjektų organizuojamose vežėjų parinkimo procedūrose keleivių vežimo viešosioms paslaugoms teikti</w:t>
            </w:r>
            <w:r>
              <w:rPr>
                <w:i/>
                <w:iCs/>
                <w:szCs w:val="24"/>
              </w:rPr>
              <w:t xml:space="preserve"> (taikoma, jeigu viešojo transporto paslaugų teikimo sutarties galiojimo terminas yra trumpesnis nei 5 metai nuo planuojamos projekto veiklų įvykdymo pabaigos)</w:t>
            </w:r>
            <w:r>
              <w:rPr>
                <w:szCs w:val="24"/>
              </w:rPr>
              <w:t>;</w:t>
            </w:r>
          </w:p>
          <w:p w14:paraId="336FFB36" w14:textId="77777777" w:rsidR="00E55C1F" w:rsidRDefault="008E1F26">
            <w:pPr>
              <w:jc w:val="both"/>
              <w:rPr>
                <w:szCs w:val="24"/>
              </w:rPr>
            </w:pPr>
            <w:r>
              <w:rPr>
                <w:szCs w:val="24"/>
              </w:rPr>
              <w:t xml:space="preserve">2.22.4. projekto atitiktį Aprašo 9.1 papunktyje nurodytiems prioritetiniams atrankos kriterijams pagrindžiančius dokumentus: transporto priemonės planuojamai 5 metų laikotarpio ridai patvirtinti – pareiškėjo pasirašytą pagrindimą, parengtą pagal Aprašo 2.22.2 ir 2.22.3 papunkčiuose nurodytų dokumentų duomenis, degalų normoms pagrįsti – baziniam scenarijui (dyzelinius degalus naudojančių transporto priemonių) – įsakymų, potvarkių, kuriais patvirtintos </w:t>
            </w:r>
            <w:r>
              <w:rPr>
                <w:szCs w:val="24"/>
              </w:rPr>
              <w:lastRenderedPageBreak/>
              <w:t>degalų normos, kopijas arba gamintojo oficialią informaciją, projektiniam scenarijui – planuojamų įsigyti transporto priemonių specifikaciją atitinkančius ne mažiau kaip 3 tiekėjų komercinius pasiūlymus ir (arba) gamintojų oficialią informaciją; jeigu planuojamoms įsigyti transporto priemonėms elektros energija ar vandenilis bus naudojami tik iš atsinaujinančių energijos išteklių, būtina pateikti tokios energijos pirkimo (tiekimo) sutarties arba ketinimų protokolo ar kito lygiaverčio dokumento kopiją;</w:t>
            </w:r>
          </w:p>
          <w:p w14:paraId="6A05107F" w14:textId="77777777" w:rsidR="00E55C1F" w:rsidRDefault="008E1F26">
            <w:pPr>
              <w:tabs>
                <w:tab w:val="left" w:pos="731"/>
              </w:tabs>
              <w:jc w:val="both"/>
              <w:rPr>
                <w:iCs/>
                <w:szCs w:val="24"/>
              </w:rPr>
            </w:pPr>
            <w:r>
              <w:rPr>
                <w:iCs/>
                <w:szCs w:val="24"/>
              </w:rPr>
              <w:t>2.22.5. dokumentus, pagrindžiančius projekto biudžetą:</w:t>
            </w:r>
          </w:p>
          <w:p w14:paraId="5F56B5B8" w14:textId="77777777" w:rsidR="00E55C1F" w:rsidRDefault="008E1F26">
            <w:pPr>
              <w:tabs>
                <w:tab w:val="left" w:pos="731"/>
              </w:tabs>
              <w:jc w:val="both"/>
              <w:rPr>
                <w:szCs w:val="24"/>
              </w:rPr>
            </w:pPr>
            <w:r>
              <w:rPr>
                <w:iCs/>
                <w:szCs w:val="24"/>
              </w:rPr>
              <w:t xml:space="preserve">2.22.5.1. </w:t>
            </w:r>
            <w:r>
              <w:rPr>
                <w:szCs w:val="24"/>
              </w:rPr>
              <w:t>naujų įsigyjamų visai netaršių transporto priemonių kainą ir tos pačios kategorijos naujų galiojančius Europos Sąjungos standartus atitinkančių transporto priemonių, kurios būtų įsigytos be valstybės pagalbos, kainą (</w:t>
            </w:r>
            <w:r>
              <w:rPr>
                <w:iCs/>
                <w:szCs w:val="24"/>
              </w:rPr>
              <w:t xml:space="preserve">kaip nustatyta Aprašo 8.3 </w:t>
            </w:r>
            <w:r>
              <w:rPr>
                <w:szCs w:val="24"/>
                <w:shd w:val="clear" w:color="auto" w:fill="FFFFFF"/>
              </w:rPr>
              <w:t xml:space="preserve">ir 13.2.1 </w:t>
            </w:r>
            <w:r>
              <w:rPr>
                <w:iCs/>
                <w:szCs w:val="24"/>
              </w:rPr>
              <w:t xml:space="preserve">papunkčiuose) </w:t>
            </w:r>
            <w:r>
              <w:rPr>
                <w:szCs w:val="24"/>
              </w:rPr>
              <w:t xml:space="preserve">pagrindžiančius dokumentus (pasirašytas vykdytų pirkimų sutartis (ne ankstesnes kaip 24 mėnesių) ir / arba bent 3 tiekėjų komercinius pasiūlymus, </w:t>
            </w:r>
            <w:r>
              <w:rPr>
                <w:iCs/>
                <w:szCs w:val="24"/>
              </w:rPr>
              <w:t>nuorodas į rinkos kainas ir kt.)</w:t>
            </w:r>
            <w:r>
              <w:rPr>
                <w:szCs w:val="24"/>
              </w:rPr>
              <w:t>;</w:t>
            </w:r>
          </w:p>
          <w:p w14:paraId="1C864F07" w14:textId="77777777" w:rsidR="00E55C1F" w:rsidRDefault="008E1F26">
            <w:pPr>
              <w:tabs>
                <w:tab w:val="left" w:pos="731"/>
              </w:tabs>
              <w:jc w:val="both"/>
              <w:rPr>
                <w:iCs/>
                <w:szCs w:val="24"/>
              </w:rPr>
            </w:pPr>
            <w:r>
              <w:rPr>
                <w:szCs w:val="24"/>
              </w:rPr>
              <w:t>2.22.5.2. įkrovimo / pildymo infrastruktūros įrengimo išlaidų skaičiavimą pagrindžiančius dokumentus (pasirašytas vykdytų pirkimų sutartis (ne ankstesnes kaip 24 mėnesių) ir / arba</w:t>
            </w:r>
            <w:r>
              <w:rPr>
                <w:b/>
                <w:bCs/>
                <w:szCs w:val="24"/>
              </w:rPr>
              <w:t xml:space="preserve"> </w:t>
            </w:r>
            <w:r>
              <w:rPr>
                <w:szCs w:val="24"/>
              </w:rPr>
              <w:t>bent 3 tiekėjų komercinius pasiūlymus, nuorodas į rinkos kainas, rangos darbų skaičiuojamąsias sąmatas ir kt.);</w:t>
            </w:r>
          </w:p>
          <w:p w14:paraId="67928AB2" w14:textId="77777777" w:rsidR="00E55C1F" w:rsidRDefault="008E1F26">
            <w:pPr>
              <w:tabs>
                <w:tab w:val="left" w:pos="731"/>
              </w:tabs>
              <w:jc w:val="both"/>
              <w:rPr>
                <w:strike/>
                <w:szCs w:val="24"/>
              </w:rPr>
            </w:pPr>
            <w:r>
              <w:rPr>
                <w:szCs w:val="24"/>
              </w:rPr>
              <w:t>2.22.6. pareiškėjo pažymą, patvirtinančią pareiškėjo indėlį finansuojant projekto tinkamų išlaidų dalį, kurios nepadengia projektui skiriamo finansavimo lėšos, ir netinkamas finansuoti projekto lėšomis išlaidas, nurodant finansavimo šaltinius, sumas ir laiką; pažyma turi būti patvirtinta pareiškėjo vadovo ir vyriausiojo finansininko parašais</w:t>
            </w:r>
            <w:r>
              <w:rPr>
                <w:iCs/>
                <w:szCs w:val="24"/>
              </w:rPr>
              <w:t>;</w:t>
            </w:r>
          </w:p>
          <w:p w14:paraId="7BDFAF9E" w14:textId="77777777" w:rsidR="00E55C1F" w:rsidRDefault="008E1F26">
            <w:pPr>
              <w:tabs>
                <w:tab w:val="left" w:pos="731"/>
              </w:tabs>
              <w:jc w:val="both"/>
              <w:rPr>
                <w:iCs/>
                <w:szCs w:val="24"/>
              </w:rPr>
            </w:pPr>
            <w:r>
              <w:rPr>
                <w:szCs w:val="24"/>
              </w:rPr>
              <w:t xml:space="preserve">2.22.7. dokumentus, patvirtinančius, kad pareiškėjo </w:t>
            </w:r>
            <w:r>
              <w:rPr>
                <w:szCs w:val="24"/>
                <w:lang w:eastAsia="lt-LT"/>
              </w:rPr>
              <w:t>nuosavų lėšų šaltiniai, iš kurių įgyvendinamas projektas ar jo dalis, atitinka Aprašo 2.9 papunkčio reikalavimus, ir iš kurių būtų galima įsitikinti, ar pareiškėjo įnašas ar jo dalis nėra laikytini valstybės pagalba;</w:t>
            </w:r>
          </w:p>
          <w:p w14:paraId="4F614240" w14:textId="77777777" w:rsidR="00E55C1F" w:rsidRDefault="008E1F26">
            <w:pPr>
              <w:tabs>
                <w:tab w:val="left" w:pos="990"/>
              </w:tabs>
              <w:jc w:val="both"/>
              <w:rPr>
                <w:szCs w:val="24"/>
                <w:lang w:eastAsia="lt-LT"/>
              </w:rPr>
            </w:pPr>
            <w:r>
              <w:rPr>
                <w:szCs w:val="24"/>
              </w:rPr>
              <w:t xml:space="preserve">2.22.8. </w:t>
            </w:r>
            <w:r>
              <w:rPr>
                <w:color w:val="000000"/>
                <w:szCs w:val="24"/>
                <w:lang w:eastAsia="lt-LT"/>
              </w:rPr>
              <w:t>pareiškėjo</w:t>
            </w:r>
            <w:r>
              <w:rPr>
                <w:szCs w:val="24"/>
                <w:lang w:eastAsia="lt-LT"/>
              </w:rPr>
              <w:t xml:space="preserve"> smulkiojo ir vidutinio verslo statuso deklaracijas (https://eimin.lrv.lt/lt/veiklos-sritys/verslo-aplinka/smulkiojo-ir-vidutinio-verslo-politika/statuso-deklaravimas-aktualus-dokumentai), jei pareiškėjas yra maža arba vidutinė įmonė, kaip šios sąvokos apibrėžtos </w:t>
            </w:r>
            <w:r>
              <w:rPr>
                <w:szCs w:val="24"/>
              </w:rPr>
              <w:t>Reglamento (ES) Nr. 651/2014 I priede</w:t>
            </w:r>
            <w:r>
              <w:rPr>
                <w:szCs w:val="24"/>
                <w:lang w:eastAsia="lt-LT"/>
              </w:rPr>
              <w:t xml:space="preserv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w:t>
            </w:r>
            <w:r>
              <w:rPr>
                <w:i/>
                <w:iCs/>
                <w:szCs w:val="24"/>
                <w:lang w:eastAsia="lt-LT"/>
              </w:rPr>
              <w:t>Excel</w:t>
            </w:r>
            <w:r>
              <w:rPr>
                <w:szCs w:val="24"/>
                <w:lang w:eastAsia="lt-LT"/>
              </w:rPr>
              <w:t xml:space="preserve"> formatu, pasirašytą kvalifikuotu parašu), arba laisvos formos deklaraciją, jei pareiškėjas yra didelė įmonė (t. y. juridinis asmuo, neatitinkantis labai mažos, mažos arba vidutinės įmonės apibrėžimo, pateikto </w:t>
            </w:r>
            <w:r>
              <w:rPr>
                <w:szCs w:val="24"/>
              </w:rPr>
              <w:t>Reglamento (ES) Nr. 651/2014 I priede</w:t>
            </w:r>
            <w:r>
              <w:rPr>
                <w:szCs w:val="24"/>
                <w:lang w:eastAsia="lt-LT"/>
              </w:rPr>
              <w:t>), kuri patvirtina, kad įmonė neturi smulkiojo ir vidutinio verslo subjekto statuso ir turi būti nurodyta informacija apie susijusių įmonių sąrašą;</w:t>
            </w:r>
          </w:p>
          <w:p w14:paraId="613762D8" w14:textId="77777777" w:rsidR="00E55C1F" w:rsidRDefault="008E1F26">
            <w:pPr>
              <w:tabs>
                <w:tab w:val="left" w:pos="731"/>
              </w:tabs>
              <w:jc w:val="both"/>
              <w:rPr>
                <w:iCs/>
                <w:szCs w:val="24"/>
              </w:rPr>
            </w:pPr>
            <w:r>
              <w:rPr>
                <w:szCs w:val="24"/>
                <w:lang w:eastAsia="lt-LT"/>
              </w:rPr>
              <w:t xml:space="preserve">2.22.9. </w:t>
            </w:r>
            <w:r>
              <w:rPr>
                <w:iCs/>
                <w:szCs w:val="24"/>
              </w:rPr>
              <w:t>užpildytą Projekto (įskaitant jungtinį projektą) atitikties reikšmingos žalos nedarymo horizontaliajam principui vertinimo reikalavimų aprašo lentelę (Aprašo 1 priedas);</w:t>
            </w:r>
          </w:p>
          <w:p w14:paraId="24D7F141" w14:textId="77777777" w:rsidR="00E55C1F" w:rsidRDefault="008E1F26">
            <w:pPr>
              <w:tabs>
                <w:tab w:val="left" w:pos="870"/>
                <w:tab w:val="left" w:pos="1590"/>
              </w:tabs>
              <w:jc w:val="both"/>
              <w:rPr>
                <w:iCs/>
                <w:szCs w:val="24"/>
              </w:rPr>
            </w:pPr>
            <w:r>
              <w:rPr>
                <w:iCs/>
                <w:szCs w:val="24"/>
              </w:rPr>
              <w:t>2.22.10. Vienos įmonės deklaraciją (Aprašo 2 priedas), jeigu pretenduojama į</w:t>
            </w:r>
            <w:r>
              <w:rPr>
                <w:szCs w:val="24"/>
                <w:shd w:val="clear" w:color="auto" w:fill="FFFFFF"/>
              </w:rPr>
              <w:t xml:space="preserve"> įsigyjamoms visai netaršioms transporto priemonėms įkrauti / pildyti būtinos </w:t>
            </w:r>
            <w:r>
              <w:rPr>
                <w:rFonts w:eastAsia="Calibri"/>
                <w:szCs w:val="24"/>
                <w:lang w:eastAsia="lt-LT"/>
              </w:rPr>
              <w:t>infrastruktūros</w:t>
            </w:r>
            <w:r>
              <w:rPr>
                <w:i/>
                <w:szCs w:val="24"/>
              </w:rPr>
              <w:t xml:space="preserve"> de minimis</w:t>
            </w:r>
            <w:r>
              <w:rPr>
                <w:iCs/>
                <w:szCs w:val="24"/>
              </w:rPr>
              <w:t xml:space="preserve"> finansavimą pagal R</w:t>
            </w:r>
            <w:r>
              <w:rPr>
                <w:szCs w:val="24"/>
              </w:rPr>
              <w:t xml:space="preserve">eglamentą (ES) </w:t>
            </w:r>
            <w:r>
              <w:rPr>
                <w:szCs w:val="24"/>
                <w:shd w:val="clear" w:color="auto" w:fill="FFFFFF"/>
              </w:rPr>
              <w:t>2023/2831</w:t>
            </w:r>
            <w:r>
              <w:rPr>
                <w:iCs/>
                <w:szCs w:val="24"/>
              </w:rPr>
              <w:t>;</w:t>
            </w:r>
          </w:p>
          <w:p w14:paraId="0B4F1CF7" w14:textId="77777777" w:rsidR="00E55C1F" w:rsidRDefault="008E1F26">
            <w:pPr>
              <w:jc w:val="both"/>
              <w:rPr>
                <w:szCs w:val="24"/>
              </w:rPr>
            </w:pPr>
            <w:r>
              <w:rPr>
                <w:szCs w:val="24"/>
              </w:rPr>
              <w:t>2.22.11. projekto įgyvendinimo metu planuojamų įsigyti visai netaršių transporto priemonių technines specifikacijas ir, jeigu planuojama įsigyti ir įdiegti visai netaršių</w:t>
            </w:r>
            <w:r>
              <w:rPr>
                <w:iCs/>
                <w:szCs w:val="24"/>
              </w:rPr>
              <w:t xml:space="preserve"> transporto priemonių </w:t>
            </w:r>
            <w:r>
              <w:rPr>
                <w:szCs w:val="24"/>
                <w:shd w:val="clear" w:color="auto" w:fill="FFFFFF"/>
              </w:rPr>
              <w:t>įkrovimo / pildymo infrastruktūrą, jos</w:t>
            </w:r>
            <w:r>
              <w:rPr>
                <w:szCs w:val="24"/>
              </w:rPr>
              <w:t xml:space="preserve"> projektinius sprendinius, kuriuose atsispindėtų dotacijos lėšomis įsigyjamos įrangos aprašymas, planuojamos įdiegti įrangos pajėgumai ir pagrindiniai techniniai parametrai, taip pat gautus specialiuosius reikalavimus (jeigu jie privalomi) ir inžinerinių tinklų ir komunikacijų savininkų ar naudotojų, prie kurių bus prijungiama planuojama įrengti įranga, išduotas prijungimo sąlygas (vadovaujantis Lietuvos Respublikos statybos įstatymo 24 straipsnio nuostatomis);</w:t>
            </w:r>
          </w:p>
          <w:p w14:paraId="7516D4BE" w14:textId="77777777" w:rsidR="00E55C1F" w:rsidRDefault="008E1F26">
            <w:pPr>
              <w:jc w:val="both"/>
              <w:rPr>
                <w:szCs w:val="24"/>
              </w:rPr>
            </w:pPr>
            <w:r>
              <w:rPr>
                <w:szCs w:val="24"/>
              </w:rPr>
              <w:t xml:space="preserve">2.22.12. pareiškėjo nuosavybės teisę į nekilnojamojo turto objektą (-us), kuriame (-iuose) bus diegiama </w:t>
            </w:r>
            <w:r>
              <w:rPr>
                <w:iCs/>
                <w:szCs w:val="24"/>
              </w:rPr>
              <w:t>visai netaršių transporto priemonių įkrovimo / pildymo infrastruktūra</w:t>
            </w:r>
            <w:r>
              <w:rPr>
                <w:szCs w:val="24"/>
              </w:rPr>
              <w:t xml:space="preserve">, įrodančius dokumentus – valstybės įmonės Registrų centro Nekilnojamojo turto registro išrašą, arba nekilnojamojo turto objekto valdymą (ne trumpiau nei galima projekto trukmė su galimu pratęsimu ir Aprašo 11.1 papunktyje nurodytas projekto tęstinumo reikalavimų užtikrinimo terminas) kitais teisėtais pagrindais įrodančius dokumentus ir (arba) panaudos davėjo ar nuomotojo rašytinį sutikimą vykdyti projekto veiklas nekilnojamojo </w:t>
            </w:r>
            <w:r>
              <w:rPr>
                <w:szCs w:val="24"/>
              </w:rPr>
              <w:lastRenderedPageBreak/>
              <w:t xml:space="preserve">turto objekte, jei statinys ar žemės sklypas yra naudojamas pagal panaudos ar nuomos sutartį ir jei toks sutikimas nėra suteikiamas nuomos ar panaudos sutartyje </w:t>
            </w:r>
            <w:r>
              <w:rPr>
                <w:i/>
                <w:iCs/>
                <w:szCs w:val="24"/>
              </w:rPr>
              <w:t>(</w:t>
            </w:r>
            <w:r>
              <w:rPr>
                <w:i/>
                <w:iCs/>
                <w:color w:val="000000"/>
                <w:szCs w:val="24"/>
              </w:rPr>
              <w:t>taikoma,</w:t>
            </w:r>
            <w:r>
              <w:rPr>
                <w:i/>
                <w:iCs/>
                <w:szCs w:val="24"/>
              </w:rPr>
              <w:t xml:space="preserve"> kai projekto lėšomis finansuojama </w:t>
            </w:r>
            <w:r>
              <w:rPr>
                <w:i/>
                <w:iCs/>
                <w:szCs w:val="24"/>
                <w:shd w:val="clear" w:color="auto" w:fill="FFFFFF"/>
              </w:rPr>
              <w:t>įsigyjamoms visai netaršioms transporto priemonėms įkrauti / pildyti būtina infrastruktūra</w:t>
            </w:r>
            <w:r>
              <w:rPr>
                <w:i/>
                <w:iCs/>
                <w:szCs w:val="24"/>
              </w:rPr>
              <w:t>)</w:t>
            </w:r>
            <w:r>
              <w:rPr>
                <w:szCs w:val="24"/>
              </w:rPr>
              <w:t>;</w:t>
            </w:r>
          </w:p>
          <w:p w14:paraId="07EC72E4" w14:textId="77777777" w:rsidR="00E55C1F" w:rsidRDefault="008E1F26">
            <w:pPr>
              <w:tabs>
                <w:tab w:val="left" w:pos="990"/>
              </w:tabs>
              <w:spacing w:line="259" w:lineRule="auto"/>
              <w:jc w:val="both"/>
              <w:rPr>
                <w:szCs w:val="24"/>
                <w:lang w:eastAsia="lt-LT"/>
              </w:rPr>
            </w:pPr>
            <w:r>
              <w:rPr>
                <w:szCs w:val="24"/>
                <w:lang w:eastAsia="lt-LT"/>
              </w:rPr>
              <w:t xml:space="preserve">2.22.13. jeigu žemės sklypas, kuriame bus diegiama </w:t>
            </w:r>
            <w:r>
              <w:rPr>
                <w:iCs/>
                <w:szCs w:val="24"/>
                <w:lang w:eastAsia="lt-LT"/>
              </w:rPr>
              <w:t>visai netaršių transporto priemonių įkrovimo / pildymo infrastruktūra</w:t>
            </w:r>
            <w:r>
              <w:rPr>
                <w:szCs w:val="24"/>
                <w:lang w:eastAsia="lt-LT"/>
              </w:rPr>
              <w:t xml:space="preserve">, nėra suformuotas, pareiškėjas turi pateikti </w:t>
            </w:r>
            <w:r>
              <w:rPr>
                <w:szCs w:val="24"/>
                <w:shd w:val="clear" w:color="auto" w:fill="FFFFFF"/>
                <w:lang w:eastAsia="lt-LT"/>
              </w:rPr>
              <w:t>Nacionalinės žemės tarnybos prie Aplinkos ministerijos</w:t>
            </w:r>
            <w:r>
              <w:rPr>
                <w:szCs w:val="24"/>
                <w:lang w:eastAsia="lt-LT"/>
              </w:rPr>
              <w:t xml:space="preserve"> arba savivaldybės (jeigu sklypas perduotas savivaldybei valdyti) sutikimą vykdyti projekte numatytas veiklas valstybinėje žemėje </w:t>
            </w:r>
            <w:r>
              <w:rPr>
                <w:i/>
                <w:iCs/>
                <w:szCs w:val="24"/>
                <w:lang w:eastAsia="lt-LT"/>
              </w:rPr>
              <w:t>(</w:t>
            </w:r>
            <w:r>
              <w:rPr>
                <w:i/>
                <w:iCs/>
                <w:color w:val="000000"/>
                <w:szCs w:val="24"/>
                <w:lang w:eastAsia="lt-LT"/>
              </w:rPr>
              <w:t>taikoma,</w:t>
            </w:r>
            <w:r>
              <w:rPr>
                <w:i/>
                <w:iCs/>
                <w:szCs w:val="24"/>
                <w:lang w:eastAsia="lt-LT"/>
              </w:rPr>
              <w:t xml:space="preserve"> kai projekto lėšomis finansuojama </w:t>
            </w:r>
            <w:r>
              <w:rPr>
                <w:i/>
                <w:iCs/>
                <w:szCs w:val="24"/>
                <w:shd w:val="clear" w:color="auto" w:fill="FFFFFF"/>
                <w:lang w:eastAsia="lt-LT"/>
              </w:rPr>
              <w:t>įsigyjamoms visai netaršioms transporto priemonėms įkrauti / pildyti būtina infrastruktūra</w:t>
            </w:r>
            <w:r>
              <w:rPr>
                <w:i/>
                <w:iCs/>
                <w:szCs w:val="24"/>
                <w:lang w:eastAsia="lt-LT"/>
              </w:rPr>
              <w:t>)</w:t>
            </w:r>
            <w:r>
              <w:rPr>
                <w:szCs w:val="24"/>
                <w:lang w:eastAsia="lt-LT"/>
              </w:rPr>
              <w:t>;</w:t>
            </w:r>
          </w:p>
          <w:p w14:paraId="15003DAB" w14:textId="77777777" w:rsidR="00E55C1F" w:rsidRDefault="008E1F26">
            <w:pPr>
              <w:jc w:val="both"/>
              <w:rPr>
                <w:szCs w:val="24"/>
              </w:rPr>
            </w:pPr>
            <w:r>
              <w:rPr>
                <w:szCs w:val="24"/>
              </w:rPr>
              <w:t>2.22.14. įsipareigojimą, kad, jeigu, vadovaujantis Lietuvos Respublikos planuojamos ūkinės veiklos poveikio aplinkai vertinimo įstatymu, privaloma atlikti poveikio aplinkai vertinimą, per 2 mėnesius nuo projekto sutarties pasirašymo bus pateikta poveikio aplinkai vertinimo ataskaita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turi būti atliktos planuojamos ūkinės veiklos poveikio aplinkai vertinimo procedūros (jei taikoma), arba pagrindimą, kodėl nurodytos procedūros netaikomos</w:t>
            </w:r>
            <w:r>
              <w:rPr>
                <w:i/>
                <w:iCs/>
                <w:szCs w:val="24"/>
              </w:rPr>
              <w:t xml:space="preserve"> (</w:t>
            </w:r>
            <w:r>
              <w:rPr>
                <w:i/>
                <w:iCs/>
                <w:color w:val="000000"/>
                <w:szCs w:val="24"/>
              </w:rPr>
              <w:t>taikoma,</w:t>
            </w:r>
            <w:r>
              <w:rPr>
                <w:i/>
                <w:iCs/>
                <w:szCs w:val="24"/>
              </w:rPr>
              <w:t xml:space="preserve"> kai projekto lėšomis finansuojama </w:t>
            </w:r>
            <w:r>
              <w:rPr>
                <w:i/>
                <w:iCs/>
                <w:szCs w:val="24"/>
                <w:shd w:val="clear" w:color="auto" w:fill="FFFFFF"/>
              </w:rPr>
              <w:t>įsigyjamoms visai netaršioms transporto priemonėms įkrauti / pildyti būtina infrastruktūra</w:t>
            </w:r>
            <w:r>
              <w:rPr>
                <w:i/>
                <w:iCs/>
                <w:szCs w:val="24"/>
              </w:rPr>
              <w:t>)</w:t>
            </w:r>
            <w:r>
              <w:rPr>
                <w:szCs w:val="24"/>
              </w:rPr>
              <w:t>;</w:t>
            </w:r>
          </w:p>
          <w:p w14:paraId="454A7C5F" w14:textId="77777777" w:rsidR="00E55C1F" w:rsidRDefault="008E1F26">
            <w:pPr>
              <w:jc w:val="both"/>
              <w:rPr>
                <w:szCs w:val="24"/>
              </w:rPr>
            </w:pPr>
            <w:r>
              <w:rPr>
                <w:szCs w:val="24"/>
              </w:rPr>
              <w:t xml:space="preserve">2.22.15. kai planuojama ūkinė veikla susijusi su įsteigtomis ar potencialiomis „Natura 2000“ teritorijomis ar artima tokių teritorijų aplinka, pareiškėjas iki PĮP pateikimo turi būti atlikęs „Natura 2000“ teritorijų reikšmingumo nustatymą, vadovaudamasis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ar programų įgyvendinimo poveikio įsteigtoms ar potencialioms „Natura 2000“ teritorijoms reikšmingumo išvadą (jei taikoma) arba pateikti pagrindimą, kodėl nurodytos procedūros netaikomos </w:t>
            </w:r>
            <w:r>
              <w:rPr>
                <w:i/>
                <w:iCs/>
                <w:szCs w:val="24"/>
              </w:rPr>
              <w:t>(</w:t>
            </w:r>
            <w:r>
              <w:rPr>
                <w:i/>
                <w:iCs/>
                <w:color w:val="000000"/>
                <w:szCs w:val="24"/>
              </w:rPr>
              <w:t>taikoma,</w:t>
            </w:r>
            <w:r>
              <w:rPr>
                <w:i/>
                <w:iCs/>
                <w:szCs w:val="24"/>
              </w:rPr>
              <w:t xml:space="preserve"> kai projekto lėšomis finansuojama </w:t>
            </w:r>
            <w:r>
              <w:rPr>
                <w:i/>
                <w:iCs/>
                <w:szCs w:val="24"/>
                <w:shd w:val="clear" w:color="auto" w:fill="FFFFFF"/>
              </w:rPr>
              <w:t>įsigyjamoms visai netaršioms transporto priemonėms įkrauti / pildyti būtina infrastruktūra</w:t>
            </w:r>
            <w:r>
              <w:rPr>
                <w:i/>
                <w:iCs/>
                <w:szCs w:val="24"/>
              </w:rPr>
              <w:t>)</w:t>
            </w:r>
            <w:r>
              <w:rPr>
                <w:szCs w:val="24"/>
              </w:rPr>
              <w:t>;</w:t>
            </w:r>
          </w:p>
          <w:p w14:paraId="55922BA4" w14:textId="77777777" w:rsidR="00E55C1F" w:rsidRDefault="008E1F26">
            <w:pPr>
              <w:jc w:val="both"/>
              <w:rPr>
                <w:szCs w:val="24"/>
              </w:rPr>
            </w:pPr>
            <w:r>
              <w:rPr>
                <w:szCs w:val="24"/>
              </w:rPr>
              <w:t xml:space="preserve">2.22.16. </w:t>
            </w:r>
            <w:r>
              <w:rPr>
                <w:szCs w:val="24"/>
                <w:lang w:eastAsia="lt-LT"/>
              </w:rPr>
              <w:t xml:space="preserve">pareiškėjo patvirtintus pastarųjų finansinių metų metinių finansinių ataskaitų rinkinius arba pastarųjų finansinių metų patvirtintus įmonių grupės metinių konsoliduotųjų finansinių ataskaitų rinkinius, jei jas pareiškėjas privalo rengti pagal Lietuvos Respublikos įmonių grupių konsoliduotosios finansinės atskaitomybės įstatymo nuostatas </w:t>
            </w:r>
            <w:r>
              <w:rPr>
                <w:i/>
                <w:iCs/>
                <w:szCs w:val="24"/>
                <w:lang w:eastAsia="lt-LT"/>
              </w:rPr>
              <w:t>(netaikoma pareiškėjui, kuris yra pateikęs metinių finansinių ataskaitų rinkinius Juridinių asmenų registrui)</w:t>
            </w:r>
            <w:r>
              <w:rPr>
                <w:i/>
                <w:iCs/>
                <w:szCs w:val="24"/>
              </w:rPr>
              <w:t>.</w:t>
            </w:r>
          </w:p>
          <w:p w14:paraId="63A11854" w14:textId="77777777" w:rsidR="00E55C1F" w:rsidRDefault="008E1F26">
            <w:pPr>
              <w:jc w:val="both"/>
              <w:rPr>
                <w:szCs w:val="24"/>
              </w:rPr>
            </w:pPr>
            <w:r>
              <w:rPr>
                <w:szCs w:val="24"/>
              </w:rPr>
              <w:t>2.23. Projektų įgyvendinimo reikalavimai:</w:t>
            </w:r>
          </w:p>
          <w:p w14:paraId="362F41FB" w14:textId="77777777" w:rsidR="00E55C1F" w:rsidRDefault="008E1F26">
            <w:pPr>
              <w:jc w:val="both"/>
              <w:rPr>
                <w:szCs w:val="24"/>
              </w:rPr>
            </w:pPr>
            <w:r>
              <w:rPr>
                <w:szCs w:val="24"/>
              </w:rPr>
              <w:t>2.23.1. projektas įgyvendinamas pagal projekto sutartyje, Apraše ir Projektų taisyklėse nustatytus reikalavimus;</w:t>
            </w:r>
          </w:p>
          <w:p w14:paraId="4E031080" w14:textId="77777777" w:rsidR="00E55C1F" w:rsidRDefault="008E1F26">
            <w:pPr>
              <w:jc w:val="both"/>
              <w:rPr>
                <w:szCs w:val="24"/>
              </w:rPr>
            </w:pPr>
            <w:r>
              <w:rPr>
                <w:szCs w:val="24"/>
              </w:rPr>
              <w:t>2.23.2. pareiškėjas turi įgyvendinti privalomus matomumo ir informavimo reikalavimus, numatytus Projektų taisyklių VIII skyriaus pirmajame skirsnyje;</w:t>
            </w:r>
          </w:p>
          <w:p w14:paraId="669CE1EE" w14:textId="77777777" w:rsidR="00E55C1F" w:rsidRDefault="008E1F26">
            <w:pPr>
              <w:jc w:val="both"/>
              <w:rPr>
                <w:szCs w:val="24"/>
              </w:rPr>
            </w:pPr>
            <w:r>
              <w:rPr>
                <w:szCs w:val="24"/>
              </w:rPr>
              <w:t>2.23.3. pareiškėjas privalo užtikrinti, kad visi su projekto įgyvendinimu susiję pirkimai būtų vykdomi vadovaujantis</w:t>
            </w:r>
            <w:r>
              <w:rPr>
                <w:szCs w:val="24"/>
                <w:lang w:eastAsia="lt-LT"/>
              </w:rPr>
              <w:t xml:space="preserve"> </w:t>
            </w:r>
            <w:r>
              <w:rPr>
                <w:szCs w:val="24"/>
              </w:rPr>
              <w:t>pirkimų vykdymo ir vertinimo tvarka, nustatyta Projektų taisyklių 7 priede; Energijos vartojimo efektyvumo ir aplinkos apsaugos reikalavimų, taikomų įsigyjant kelių transporto priemones, nustatymo ir atvejų, kada juos privaloma taikyti, tvarkos aprašu, patvirtintu 2011 m. vasario 21 d. Lietuvos Respublikos susisiekimo ministro įsakymu Nr. 3-100 „</w:t>
            </w:r>
            <w:r>
              <w:rPr>
                <w:szCs w:val="24"/>
                <w:shd w:val="clear" w:color="auto" w:fill="FFFFFF"/>
              </w:rPr>
              <w:t>Dėl Energijos vartojimo efektyvumo ir aplinkos apsaugos reikalavimų, taikomų įsigyjant kelių transporto priemones, nustatymo ir atvejų, kada juos privaloma taikyti, tvarkos aprašo patvirtinimo“;</w:t>
            </w:r>
            <w:r>
              <w:rPr>
                <w:szCs w:val="24"/>
              </w:rPr>
              <w:t xml:space="preserve"> viešojo transporto priemonės įsigyjamos iš tiekėjų ir (arba) gamintojų, kuriems </w:t>
            </w:r>
            <w:r>
              <w:rPr>
                <w:szCs w:val="24"/>
                <w:lang w:eastAsia="lt-LT"/>
              </w:rPr>
              <w:t>netaikomos Lietuvos Respublikoje įgyvendinamos tarptautinės sankcijos, kaip tai apibrėžta Lietuvos Respublikos tarptautinių sankcijų įstatyme;</w:t>
            </w:r>
            <w:r>
              <w:rPr>
                <w:szCs w:val="24"/>
              </w:rPr>
              <w:t xml:space="preserve"> statybų darbų projektas turi būti įgyvendinamas</w:t>
            </w:r>
            <w:r>
              <w:rPr>
                <w:b/>
                <w:bCs/>
                <w:szCs w:val="24"/>
              </w:rPr>
              <w:t xml:space="preserve"> </w:t>
            </w:r>
            <w:r>
              <w:rPr>
                <w:szCs w:val="24"/>
              </w:rPr>
              <w:t>vadovaujantis Statybos įstatymu, statybos techninių reglamentų reikalavimais ir kitais Lietuvos Respublikos teisės aktais; projekto pirkimų sutartys turi būti įgyvendinamos vadovaujantis Lietuvos Respublikos teisės aktais;</w:t>
            </w:r>
          </w:p>
          <w:p w14:paraId="2B9442BA" w14:textId="77777777" w:rsidR="00E55C1F" w:rsidRDefault="008E1F26">
            <w:pPr>
              <w:jc w:val="both"/>
              <w:rPr>
                <w:szCs w:val="24"/>
              </w:rPr>
            </w:pPr>
            <w:r>
              <w:rPr>
                <w:szCs w:val="24"/>
              </w:rPr>
              <w:lastRenderedPageBreak/>
              <w:t>2.23.4. projekto įgyvendinimo metu baigus galioti viešojo transporto paslaugų teikimo sutarčiai (-ims) arba jas nutraukus, projekto vykdytojas privalo pateikti CPVA naujai sudarytas ir galiojančias viešojo transporto paslaugų teikimo Aprašo 2.2 papunktyje nurodytų savivaldybių teritorijose sutartis; nepateikus šių sutarčių, projekto sutartis nutraukiama Projektų taisyklių IV skyriaus antrajame skirsnyje nustatyta tvarka.</w:t>
            </w:r>
          </w:p>
          <w:p w14:paraId="71D0962F" w14:textId="77777777" w:rsidR="00E55C1F" w:rsidRDefault="008E1F26">
            <w:pPr>
              <w:jc w:val="both"/>
              <w:rPr>
                <w:szCs w:val="24"/>
              </w:rPr>
            </w:pPr>
            <w:r>
              <w:rPr>
                <w:szCs w:val="24"/>
              </w:rPr>
              <w:t>2.24. Į</w:t>
            </w:r>
            <w:r>
              <w:rPr>
                <w:iCs/>
                <w:szCs w:val="24"/>
                <w:lang w:eastAsia="lt-LT"/>
              </w:rPr>
              <w:t xml:space="preserve">gyvendinant pagal Aprašą finansuojamą veiklą, turi būti įsigytos </w:t>
            </w:r>
            <w:r>
              <w:rPr>
                <w:rFonts w:eastAsia="Calibri"/>
                <w:szCs w:val="24"/>
              </w:rPr>
              <w:t>naujos (neeksploatuotos;</w:t>
            </w:r>
            <w:r>
              <w:rPr>
                <w:rFonts w:eastAsia="Calibri"/>
                <w:szCs w:val="24"/>
                <w:lang w:eastAsia="lt-LT"/>
              </w:rPr>
              <w:t xml:space="preserve"> transporto priemonės registracijos vieta Lietuvos Respublikoje</w:t>
            </w:r>
            <w:r>
              <w:rPr>
                <w:rFonts w:eastAsia="Calibri"/>
                <w:szCs w:val="24"/>
              </w:rPr>
              <w:t>) savaeigės visai netaršios keleivinio transporto priemonės, kurioms (kiekvienai) taikomi šie reikalavimai</w:t>
            </w:r>
            <w:r>
              <w:rPr>
                <w:szCs w:val="24"/>
              </w:rPr>
              <w:t>:</w:t>
            </w:r>
          </w:p>
          <w:p w14:paraId="6A1E8740" w14:textId="77777777" w:rsidR="00E55C1F" w:rsidRDefault="008E1F26">
            <w:pPr>
              <w:jc w:val="both"/>
              <w:rPr>
                <w:rFonts w:eastAsia="Calibri"/>
                <w:szCs w:val="24"/>
              </w:rPr>
            </w:pPr>
            <w:r>
              <w:rPr>
                <w:szCs w:val="24"/>
              </w:rPr>
              <w:t xml:space="preserve">2.24.1. </w:t>
            </w:r>
            <w:r>
              <w:rPr>
                <w:rFonts w:eastAsia="Calibri"/>
                <w:szCs w:val="24"/>
              </w:rPr>
              <w:t xml:space="preserve">turi būti sertifikuota pagal </w:t>
            </w:r>
            <w:r>
              <w:rPr>
                <w:color w:val="333333"/>
                <w:szCs w:val="24"/>
                <w:shd w:val="clear" w:color="auto" w:fill="FFFFFF"/>
              </w:rPr>
              <w:t xml:space="preserve">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w:t>
            </w:r>
            <w:r>
              <w:rPr>
                <w:szCs w:val="24"/>
              </w:rPr>
              <w:t>galiojantį transporto priemonės ES tipo atitikties liudijimą</w:t>
            </w:r>
            <w:r>
              <w:rPr>
                <w:rFonts w:eastAsia="Calibri"/>
                <w:szCs w:val="24"/>
              </w:rPr>
              <w:t>;</w:t>
            </w:r>
          </w:p>
          <w:p w14:paraId="30379DF5" w14:textId="77777777" w:rsidR="00E55C1F" w:rsidRDefault="008E1F26">
            <w:pPr>
              <w:jc w:val="both"/>
              <w:rPr>
                <w:rFonts w:eastAsia="Calibri"/>
                <w:szCs w:val="24"/>
              </w:rPr>
            </w:pPr>
            <w:r>
              <w:rPr>
                <w:szCs w:val="24"/>
              </w:rPr>
              <w:t>2.24.2.</w:t>
            </w:r>
            <w:r>
              <w:rPr>
                <w:rFonts w:eastAsia="Calibri"/>
                <w:szCs w:val="24"/>
              </w:rPr>
              <w:t xml:space="preserve"> </w:t>
            </w:r>
            <w:r>
              <w:rPr>
                <w:szCs w:val="24"/>
              </w:rPr>
              <w:t>turi būti I, II ir A klasių, kaip tai apibrėžta Jungtinių Tautų Europos ekonomikos komisijos (JT EEK) taisyklėje Nr. 107 „Vienodos nuostatos dėl M2 arba M3 kategorijos transporto priemonių patvirtinimo, atsižvelgiant į jų bendrąją konstrukciją“ (toliau – JT EEK taisyklė Nr. 107)</w:t>
            </w:r>
            <w:r>
              <w:rPr>
                <w:szCs w:val="24"/>
                <w:shd w:val="clear" w:color="auto" w:fill="FFFFFF"/>
              </w:rPr>
              <w:t>;</w:t>
            </w:r>
          </w:p>
          <w:p w14:paraId="60B39592" w14:textId="77777777" w:rsidR="00E55C1F" w:rsidRDefault="008E1F26">
            <w:pPr>
              <w:jc w:val="both"/>
              <w:rPr>
                <w:rFonts w:eastAsia="Calibri"/>
                <w:szCs w:val="24"/>
              </w:rPr>
            </w:pPr>
            <w:r>
              <w:rPr>
                <w:rFonts w:eastAsia="Calibri"/>
                <w:szCs w:val="24"/>
              </w:rPr>
              <w:t xml:space="preserve">2.24.3. </w:t>
            </w:r>
            <w:r w:rsidR="00961ADA" w:rsidRPr="00961ADA">
              <w:rPr>
                <w:szCs w:val="24"/>
              </w:rPr>
              <w:t>turi būti žemagrindė, kurioje ne mažiau kaip 35 procentai ploto skirta keleiviams stovėti (sujungtosiose transporto priemonėse – priekinėje dalyje); šis plotas turi būti tarp ašių, be laiptų ir iš jo galima prieiti bent prie vienų tarnybinių durų; transporto priemonės kėbulo kodas registracijos liudijime CV, CE arba CM – žemagrindė vienaaukštė transporto priemonė</w:t>
            </w:r>
            <w:r>
              <w:rPr>
                <w:szCs w:val="24"/>
              </w:rPr>
              <w:t>;</w:t>
            </w:r>
          </w:p>
          <w:p w14:paraId="647DEC83" w14:textId="77777777" w:rsidR="00E55C1F" w:rsidRDefault="008E1F26">
            <w:pPr>
              <w:jc w:val="both"/>
              <w:rPr>
                <w:rFonts w:eastAsia="Calibri"/>
                <w:szCs w:val="24"/>
              </w:rPr>
            </w:pPr>
            <w:r>
              <w:rPr>
                <w:szCs w:val="24"/>
              </w:rPr>
              <w:t xml:space="preserve">2.24.4. </w:t>
            </w:r>
            <w:r>
              <w:rPr>
                <w:rFonts w:eastAsia="Calibri"/>
                <w:szCs w:val="24"/>
              </w:rPr>
              <w:t>turi būti įrengta ne mažiau kaip 13 sėdimųjų vietų,</w:t>
            </w:r>
            <w:r>
              <w:rPr>
                <w:rFonts w:eastAsia="Calibri"/>
                <w:b/>
                <w:bCs/>
                <w:szCs w:val="24"/>
              </w:rPr>
              <w:t xml:space="preserve"> </w:t>
            </w:r>
            <w:r>
              <w:rPr>
                <w:rFonts w:eastAsia="Calibri"/>
                <w:szCs w:val="24"/>
              </w:rPr>
              <w:t xml:space="preserve">neįskaitant vairuotojo vietos, papildomai gali būti įrengta iki trijų atlenkiamų (pagalbinių) sėdynių, kurias gali būti privalu užleisti </w:t>
            </w:r>
            <w:r>
              <w:rPr>
                <w:szCs w:val="24"/>
                <w:lang w:eastAsia="lt-LT"/>
              </w:rPr>
              <w:t xml:space="preserve">neįgaliajam asmeniui vežimėlyje arba vaikiškam vežimėliui; įrengta mažiausiai viena vieta neįgaliųjų vežimėlio naudotojui arba vaikiškam vežimėliui; numatytas pagal </w:t>
            </w:r>
            <w:r>
              <w:rPr>
                <w:szCs w:val="24"/>
                <w:shd w:val="clear" w:color="auto" w:fill="FFFFFF"/>
              </w:rPr>
              <w:t>JT EEK taisyklės Nr. 107</w:t>
            </w:r>
            <w:r>
              <w:rPr>
                <w:szCs w:val="24"/>
                <w:lang w:eastAsia="lt-LT"/>
              </w:rPr>
              <w:t xml:space="preserve"> reikalavimus sertifikuotas neįgaliojo vėžimėlio tvirtinimas priklausomai nuo autobuso klasės; privalo būti įrengtas ir vaikiško vėžimėlio tvirtinimas</w:t>
            </w:r>
            <w:r>
              <w:rPr>
                <w:rFonts w:eastAsia="Calibri"/>
                <w:szCs w:val="24"/>
              </w:rPr>
              <w:t>; bendras įrengtų sėdimųjų ir stovimųjų vietų skaičius turi būti ne mažesnis kaip 20;</w:t>
            </w:r>
          </w:p>
          <w:p w14:paraId="4DE73BB3" w14:textId="77777777" w:rsidR="00E55C1F" w:rsidRDefault="008E1F26">
            <w:pPr>
              <w:jc w:val="both"/>
              <w:rPr>
                <w:rFonts w:eastAsia="Calibri"/>
                <w:szCs w:val="24"/>
              </w:rPr>
            </w:pPr>
            <w:r>
              <w:rPr>
                <w:rFonts w:eastAsia="Calibri"/>
                <w:szCs w:val="24"/>
              </w:rPr>
              <w:t>2.24.5. neįgaliųjų vežimėlių naudotojų ir vaikiškų vežimėlių įvažiavimas / išvažiavimas turi būti numatytas per šonines (ne galines) transporto priemonės duris;</w:t>
            </w:r>
          </w:p>
          <w:p w14:paraId="3AEA2143" w14:textId="77777777" w:rsidR="00E55C1F" w:rsidRDefault="008E1F26">
            <w:pPr>
              <w:jc w:val="both"/>
              <w:rPr>
                <w:rFonts w:eastAsia="Calibri"/>
                <w:szCs w:val="24"/>
              </w:rPr>
            </w:pPr>
            <w:r>
              <w:rPr>
                <w:rFonts w:eastAsia="Calibri"/>
                <w:szCs w:val="24"/>
              </w:rPr>
              <w:t>2.24.6. transporto priemonė ar jos dalis, kurioje neįgaliųjų vežimėlių naudotojai įlaipinami / išlaipinami, turi būti žemagrindė (nužeminta grindų zona be papildomų laiptelių);</w:t>
            </w:r>
          </w:p>
          <w:p w14:paraId="430ADC02" w14:textId="77777777" w:rsidR="00E55C1F" w:rsidRDefault="008E1F26">
            <w:pPr>
              <w:jc w:val="both"/>
              <w:rPr>
                <w:strike/>
                <w:szCs w:val="24"/>
              </w:rPr>
            </w:pPr>
            <w:r>
              <w:rPr>
                <w:rFonts w:eastAsia="Calibri"/>
                <w:szCs w:val="24"/>
              </w:rPr>
              <w:t xml:space="preserve">2.24.7. </w:t>
            </w:r>
            <w:r>
              <w:rPr>
                <w:szCs w:val="24"/>
              </w:rPr>
              <w:t xml:space="preserve">turi turėti įrengtas pirmenybines sėdimąsias vietas (specialiąsias sėdynes – padidintas, atitinkamai paženklintas) ir kitą privalomą įrangą, atitinkančią </w:t>
            </w:r>
            <w:r>
              <w:rPr>
                <w:rFonts w:eastAsia="Calibri"/>
                <w:szCs w:val="24"/>
              </w:rPr>
              <w:t>JT EEK taisyklės Nr. 107 reikalavimus,</w:t>
            </w:r>
            <w:r>
              <w:rPr>
                <w:szCs w:val="24"/>
              </w:rPr>
              <w:t xml:space="preserve"> riboto judumo keleiviams; šios sėdimos vietos privalo būti pasiekiamos iš nužemintos grindų zonos be papildomų laiptelių; atlenkiamos sėdynės nėra laikomos pirmenybinėmis sėdynėmis;</w:t>
            </w:r>
          </w:p>
          <w:p w14:paraId="12A71C4F" w14:textId="77777777" w:rsidR="00E55C1F" w:rsidRDefault="008E1F26">
            <w:pPr>
              <w:jc w:val="both"/>
              <w:rPr>
                <w:szCs w:val="24"/>
              </w:rPr>
            </w:pPr>
            <w:r>
              <w:rPr>
                <w:szCs w:val="24"/>
              </w:rPr>
              <w:t xml:space="preserve">2.24.8. </w:t>
            </w:r>
            <w:r>
              <w:rPr>
                <w:rFonts w:eastAsia="Calibri"/>
                <w:szCs w:val="24"/>
              </w:rPr>
              <w:t>turi būti įrengta vaizdo stebėjimo sistema, skirta keleivių ir vairuotojų saugumui užtikrinti, leidžianti stebėti visą transporto priemonės saloną;</w:t>
            </w:r>
          </w:p>
          <w:p w14:paraId="2FF5C589" w14:textId="77777777" w:rsidR="00E55C1F" w:rsidRDefault="008E1F26">
            <w:pPr>
              <w:jc w:val="both"/>
              <w:rPr>
                <w:szCs w:val="24"/>
              </w:rPr>
            </w:pPr>
            <w:r>
              <w:rPr>
                <w:szCs w:val="24"/>
              </w:rPr>
              <w:t xml:space="preserve">2.24.9. </w:t>
            </w:r>
            <w:r>
              <w:rPr>
                <w:rFonts w:eastAsia="Calibri"/>
                <w:szCs w:val="24"/>
              </w:rPr>
              <w:t>turi būti aprūpinta išoriniu keleivių įlipimo / išlipimo durų apšvietimu, transporto priemonei sustojus ir atidarius duris</w:t>
            </w:r>
            <w:r>
              <w:rPr>
                <w:szCs w:val="24"/>
              </w:rPr>
              <w:t>;</w:t>
            </w:r>
          </w:p>
          <w:p w14:paraId="02A7F383" w14:textId="77777777" w:rsidR="00E55C1F" w:rsidRDefault="008E1F26">
            <w:pPr>
              <w:jc w:val="both"/>
              <w:rPr>
                <w:szCs w:val="24"/>
              </w:rPr>
            </w:pPr>
            <w:r>
              <w:rPr>
                <w:szCs w:val="24"/>
              </w:rPr>
              <w:t>2.24.10. turi atitikti kitus transporto priemonių pritaikymo individualių poreikių turintiems asmenims reikalavimus, numatytus Viešojo transporto priemonių pritaikymo neįgaliesiems ir riboto judumo asmenims reikalavimų apraše;</w:t>
            </w:r>
          </w:p>
          <w:p w14:paraId="00359ACC" w14:textId="77777777" w:rsidR="00E55C1F" w:rsidRDefault="008E1F26">
            <w:pPr>
              <w:jc w:val="both"/>
              <w:rPr>
                <w:szCs w:val="24"/>
              </w:rPr>
            </w:pPr>
            <w:r>
              <w:rPr>
                <w:szCs w:val="24"/>
              </w:rPr>
              <w:t xml:space="preserve">2.24.11. transporto priemonė </w:t>
            </w:r>
            <w:r>
              <w:rPr>
                <w:rFonts w:eastAsia="Calibri"/>
                <w:szCs w:val="24"/>
              </w:rPr>
              <w:t>turi būti aprūpinta antialkoholiniu variklio užraktu (alkoholio matuokliu, sujungtu su variklio paleidimo mechanizmu ir galinčiu užblokuoti variklio paleidimą, jeigu į jį įpučiamame / iškvepiamame ore alkoholio koncentracija viršija numatytąją);</w:t>
            </w:r>
          </w:p>
          <w:p w14:paraId="23802C0D" w14:textId="77777777" w:rsidR="00E55C1F" w:rsidRDefault="008E1F26">
            <w:pPr>
              <w:jc w:val="both"/>
              <w:rPr>
                <w:szCs w:val="24"/>
              </w:rPr>
            </w:pPr>
            <w:r>
              <w:rPr>
                <w:szCs w:val="24"/>
              </w:rPr>
              <w:t>2.24.12. kelių transporto priemonė turi atitikti Keleivių ir bagažo vežimo kelių transportu taisyklių, patvirtintų Lietuvos Respublikos susisiekimo ministro 2011 m. balandžio 13 d. įsakymu Nr. 3-223 „Dėl Keleivių ir bagažo vežimo kelių transportu taisyklių patvirtinimo“, V skyriuje nustatytus reikalavimus;</w:t>
            </w:r>
          </w:p>
          <w:p w14:paraId="0726B215" w14:textId="77777777" w:rsidR="00E55C1F" w:rsidRDefault="008E1F26">
            <w:pPr>
              <w:ind w:left="22"/>
              <w:jc w:val="both"/>
              <w:rPr>
                <w:iCs/>
                <w:szCs w:val="24"/>
                <w:lang w:eastAsia="lt-LT"/>
              </w:rPr>
            </w:pPr>
            <w:r>
              <w:rPr>
                <w:iCs/>
                <w:szCs w:val="24"/>
                <w:lang w:eastAsia="lt-LT"/>
              </w:rPr>
              <w:t>2.24.13.</w:t>
            </w:r>
            <w:r>
              <w:rPr>
                <w:szCs w:val="24"/>
                <w:lang w:eastAsia="lt-LT"/>
              </w:rPr>
              <w:t xml:space="preserve"> visai netaršių transporto priemonių </w:t>
            </w:r>
            <w:r>
              <w:rPr>
                <w:szCs w:val="24"/>
                <w:shd w:val="clear" w:color="auto" w:fill="FFFFFF"/>
              </w:rPr>
              <w:t>įkrovimo / pildymo</w:t>
            </w:r>
            <w:r>
              <w:rPr>
                <w:szCs w:val="24"/>
                <w:lang w:eastAsia="lt-LT"/>
              </w:rPr>
              <w:t xml:space="preserve"> infrastruktūrai</w:t>
            </w:r>
            <w:r>
              <w:rPr>
                <w:iCs/>
                <w:szCs w:val="24"/>
                <w:lang w:eastAsia="lt-LT"/>
              </w:rPr>
              <w:t>, įrengiamai transporto priemonių parkų teritorijose ir (ar) viešojo transporto priemonių maršrutuose, taikomi reikalavimai:</w:t>
            </w:r>
          </w:p>
          <w:p w14:paraId="728A7E28" w14:textId="77777777" w:rsidR="00E55C1F" w:rsidRDefault="008E1F26">
            <w:pPr>
              <w:ind w:left="22"/>
              <w:jc w:val="both"/>
              <w:rPr>
                <w:iCs/>
                <w:szCs w:val="24"/>
                <w:lang w:eastAsia="lt-LT"/>
              </w:rPr>
            </w:pPr>
            <w:r>
              <w:rPr>
                <w:iCs/>
                <w:szCs w:val="24"/>
                <w:lang w:eastAsia="lt-LT"/>
              </w:rPr>
              <w:lastRenderedPageBreak/>
              <w:t>2.24.13.1. v</w:t>
            </w:r>
            <w:r>
              <w:rPr>
                <w:iCs/>
                <w:szCs w:val="24"/>
              </w:rPr>
              <w:t xml:space="preserve">isai netaršių </w:t>
            </w:r>
            <w:r>
              <w:rPr>
                <w:iCs/>
                <w:szCs w:val="24"/>
                <w:lang w:eastAsia="lt-LT"/>
              </w:rPr>
              <w:t>transporto priemonių įkrovimo / papildymo infrastruktūra gali būti viešai prieinama priklausomai nuo šios infrastruktūros technologinių standartų ir įrengimo vietos; t</w:t>
            </w:r>
            <w:r>
              <w:rPr>
                <w:szCs w:val="24"/>
              </w:rPr>
              <w:t xml:space="preserve">uo atveju, jei visai netaršių transporto priemonių įkrovimo / papildymo infrastruktūra yra viešai prieinama, įkrovimo stotelėje su prieiga (-omis) / </w:t>
            </w:r>
            <w:r>
              <w:rPr>
                <w:szCs w:val="24"/>
                <w:shd w:val="clear" w:color="auto" w:fill="FFFFFF"/>
              </w:rPr>
              <w:t>degalų pildymo</w:t>
            </w:r>
            <w:r>
              <w:rPr>
                <w:szCs w:val="24"/>
              </w:rPr>
              <w:t xml:space="preserve"> stotelėje turi būti aiškiai pateikiama informacija apie </w:t>
            </w:r>
            <w:r>
              <w:rPr>
                <w:i/>
                <w:iCs/>
                <w:szCs w:val="24"/>
              </w:rPr>
              <w:t>ad hoc</w:t>
            </w:r>
            <w:r>
              <w:rPr>
                <w:szCs w:val="24"/>
              </w:rPr>
              <w:t xml:space="preserve"> kainą, kad galutiniams naudotojams ši informacija būtų žinoma prieš pradedant įkrovimo / papildymo seansą; ši informacija turi apimti visas kainos dedamąsias, kurias operatorius taiko įkrovimo / papildymo seanso kainai apskaičiuoti, pvz., seanso kainą, minutės kainą arba kWh kainą; už naudojimąsi infrastruktūra mokama rinkos kaina;</w:t>
            </w:r>
          </w:p>
          <w:p w14:paraId="4616BD04" w14:textId="77777777" w:rsidR="00E55C1F" w:rsidRDefault="008E1F26">
            <w:pPr>
              <w:jc w:val="both"/>
              <w:rPr>
                <w:iCs/>
                <w:szCs w:val="24"/>
                <w:lang w:eastAsia="lt-LT"/>
              </w:rPr>
            </w:pPr>
            <w:r>
              <w:rPr>
                <w:iCs/>
                <w:szCs w:val="24"/>
                <w:lang w:eastAsia="lt-LT"/>
              </w:rPr>
              <w:t xml:space="preserve">2.24.13.2. lauke esantys vandenilio pildymo punktai, kuriuose tiekiamas dujinis vandenilis, naudojamas kaip motorinių transporto priemonių degalai, turi atitikti bent standarte EN 17127:2020 </w:t>
            </w:r>
            <w:r>
              <w:t xml:space="preserve">„Vandenilio degalų pildymo punktai lauke, kuriuose tiekiamas dujinis vandenilis ir naudojami pildymo protokolai“ </w:t>
            </w:r>
            <w:r>
              <w:rPr>
                <w:iCs/>
                <w:szCs w:val="24"/>
                <w:lang w:eastAsia="lt-LT"/>
              </w:rPr>
              <w:t xml:space="preserve">aprašytus sąveikumo reikalavimus; vandenilio, tiekiamo motorinėms transporto priemonėms skirtuose vandenilio pildymo punktuose, kokybės charakteristikos turi atitikti standarte EN 17124:2022 </w:t>
            </w:r>
            <w:r>
              <w:t>„Vandenilio kuras. Produkto specifikacija ir kokybės užtikrinimas, taikomi vandenilio kuro pildymo punktams, kuriuose tiekiamas vandenilis. Transporto priemonėms skirti kuro elementai su protonų mainų membrana (PMM)“</w:t>
            </w:r>
            <w:r>
              <w:rPr>
                <w:iCs/>
                <w:szCs w:val="24"/>
                <w:lang w:eastAsia="lt-LT"/>
              </w:rPr>
              <w:t xml:space="preserve"> aprašytus reikalavimus; vandenilio kokybės užtikrinimo metodai taip pat aprašyti standarte EN 17124:2022; degalų tiekimo algoritmas turi atitikti standarto EN 17127:2020 reikalavimus; užbaigus jungčių sertifikavimo procesą pagal standartą EN ISO 17268:2020 </w:t>
            </w:r>
            <w:r>
              <w:t>„Sausumos transporto priemonių pildymo dujiniu vandeniliu prijungiamieji įtaisai“</w:t>
            </w:r>
            <w:r>
              <w:rPr>
                <w:iCs/>
                <w:szCs w:val="24"/>
                <w:lang w:eastAsia="lt-LT"/>
              </w:rPr>
              <w:t>, motorinių transporto priemonių dujinio vandenilio pildymo jungtys turi atitikti bent šį standartą;</w:t>
            </w:r>
          </w:p>
          <w:p w14:paraId="715E1F49" w14:textId="77777777" w:rsidR="00E55C1F" w:rsidRDefault="008E1F26">
            <w:pPr>
              <w:jc w:val="both"/>
              <w:rPr>
                <w:iCs/>
                <w:szCs w:val="24"/>
                <w:lang w:eastAsia="lt-LT"/>
              </w:rPr>
            </w:pPr>
            <w:r>
              <w:rPr>
                <w:iCs/>
                <w:szCs w:val="24"/>
                <w:lang w:eastAsia="lt-LT"/>
              </w:rPr>
              <w:t>2.24.13.3. elektra varomų autobusų įprastos ir didelės galios įkrovimo prieigos:</w:t>
            </w:r>
          </w:p>
          <w:p w14:paraId="42E335BF" w14:textId="77777777" w:rsidR="00E55C1F" w:rsidRDefault="008E1F26">
            <w:pPr>
              <w:jc w:val="both"/>
              <w:rPr>
                <w:iCs/>
                <w:szCs w:val="24"/>
                <w:lang w:eastAsia="lt-LT"/>
              </w:rPr>
            </w:pPr>
            <w:r>
              <w:rPr>
                <w:iCs/>
                <w:szCs w:val="24"/>
                <w:lang w:eastAsia="lt-LT"/>
              </w:rPr>
              <w:t>2.24.13.3.1. sąveikumo tikslais elektra varomiems autobusams skirtose kintamosios srovės įprastos ar didelės galios įkrovimo prieigose bent viena iš jungčių turi būti 2 tipo („Type 2“);</w:t>
            </w:r>
          </w:p>
          <w:p w14:paraId="2191AE8A" w14:textId="77777777" w:rsidR="00E55C1F" w:rsidRDefault="008E1F26">
            <w:pPr>
              <w:jc w:val="both"/>
              <w:rPr>
                <w:iCs/>
                <w:strike/>
                <w:szCs w:val="24"/>
                <w:lang w:eastAsia="lt-LT"/>
              </w:rPr>
            </w:pPr>
            <w:r>
              <w:rPr>
                <w:iCs/>
                <w:szCs w:val="24"/>
                <w:lang w:eastAsia="lt-LT"/>
              </w:rPr>
              <w:t>2.24.13.3.2. sąveikumo tikslais elektra varomiems autobusams skirtose nuolatinės srovės įprastos ar didelės galios įkrovimo prieigose bent viena iš jungčių</w:t>
            </w:r>
            <w:r>
              <w:rPr>
                <w:iCs/>
                <w:strike/>
                <w:szCs w:val="24"/>
                <w:lang w:eastAsia="lt-LT"/>
              </w:rPr>
              <w:t xml:space="preserve"> </w:t>
            </w:r>
            <w:r>
              <w:rPr>
                <w:iCs/>
                <w:szCs w:val="24"/>
                <w:lang w:eastAsia="lt-LT"/>
              </w:rPr>
              <w:t>turi būti kombinuotos kintamosios srovės ir nuolatinės srovės sistemos „Combo 2“ tipo;</w:t>
            </w:r>
          </w:p>
          <w:p w14:paraId="6CE1A8EA" w14:textId="77777777" w:rsidR="00E55C1F" w:rsidRDefault="008E1F26">
            <w:pPr>
              <w:jc w:val="both"/>
              <w:rPr>
                <w:i/>
                <w:iCs/>
                <w:szCs w:val="24"/>
              </w:rPr>
            </w:pPr>
            <w:r>
              <w:rPr>
                <w:iCs/>
                <w:szCs w:val="24"/>
                <w:lang w:eastAsia="lt-LT"/>
              </w:rPr>
              <w:t>2.24.13.3.3. elektra varomų autobusų kontaktinės sąsajos automatiniame įtaise, veikiančiame 4 įkrovimo režimu, turi būti įrengtos bent mechaninės ir elektrinės sąsajos dėl: infrastruktūroje sumontuoto automatinio prijungimo įtaiso (pantografo), ant transporto priemonės stogo sumontuoto automatinio prijungimo įtaiso, po transporto priemone sumontuoto automatinio prijungimo įtaiso, infrastruktūroje sumontuoto, prie transporto priemonės šono arba ant stogo prijungiamo automatinio prijungimo įtaiso.</w:t>
            </w:r>
          </w:p>
        </w:tc>
      </w:tr>
      <w:tr w:rsidR="00E55C1F" w14:paraId="747A505B" w14:textId="77777777">
        <w:tc>
          <w:tcPr>
            <w:tcW w:w="15134" w:type="dxa"/>
          </w:tcPr>
          <w:p w14:paraId="0AD04F2E" w14:textId="77777777" w:rsidR="00E55C1F" w:rsidRDefault="008E1F26">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E55C1F" w14:paraId="55269017" w14:textId="77777777">
        <w:trPr>
          <w:trHeight w:val="295"/>
        </w:trPr>
        <w:tc>
          <w:tcPr>
            <w:tcW w:w="15134" w:type="dxa"/>
          </w:tcPr>
          <w:p w14:paraId="13699930" w14:textId="77777777" w:rsidR="00E55C1F" w:rsidRDefault="008E1F26">
            <w:pPr>
              <w:jc w:val="both"/>
              <w:rPr>
                <w:i/>
                <w:iCs/>
                <w:sz w:val="22"/>
                <w:szCs w:val="22"/>
              </w:rPr>
            </w:pPr>
            <w:r>
              <w:rPr>
                <w:szCs w:val="24"/>
              </w:rPr>
              <w:t>Netaikomas.</w:t>
            </w:r>
          </w:p>
        </w:tc>
      </w:tr>
      <w:tr w:rsidR="00E55C1F" w14:paraId="220C773D" w14:textId="77777777">
        <w:trPr>
          <w:trHeight w:val="285"/>
        </w:trPr>
        <w:tc>
          <w:tcPr>
            <w:tcW w:w="15134" w:type="dxa"/>
          </w:tcPr>
          <w:p w14:paraId="4372B166" w14:textId="77777777" w:rsidR="00E55C1F" w:rsidRDefault="008E1F26">
            <w:pPr>
              <w:rPr>
                <w:b/>
                <w:szCs w:val="24"/>
              </w:rPr>
            </w:pPr>
            <w:r>
              <w:rPr>
                <w:b/>
                <w:szCs w:val="24"/>
              </w:rPr>
              <w:t>4. Projekto tikslinės grupės</w:t>
            </w:r>
          </w:p>
        </w:tc>
      </w:tr>
      <w:tr w:rsidR="00E55C1F" w14:paraId="6C0401F5" w14:textId="77777777">
        <w:trPr>
          <w:trHeight w:val="285"/>
        </w:trPr>
        <w:tc>
          <w:tcPr>
            <w:tcW w:w="15134" w:type="dxa"/>
          </w:tcPr>
          <w:p w14:paraId="53472930" w14:textId="77777777" w:rsidR="00E55C1F" w:rsidRDefault="008E1F26">
            <w:pPr>
              <w:jc w:val="both"/>
              <w:rPr>
                <w:sz w:val="22"/>
                <w:szCs w:val="22"/>
              </w:rPr>
            </w:pPr>
            <w:r>
              <w:rPr>
                <w:iCs/>
                <w:szCs w:val="24"/>
              </w:rPr>
              <w:t xml:space="preserve">Tikslinę grupę sudaro tiesioginiai ir netiesioginiai naudos gavėjai. Tiesioginiai naudos gavėjai – juridiniai asmenys, teikiantys keleivių vežimo paslaugas Aprašo 2.2 papunktyje nurodytų savivaldybių teritorijose, šių juridinių asmenų darbuotojai, transporto priemonių keleiviai, t. y. veikla orientuojama į savivaldybių administracijas, kurios turi užtikrinti viešųjų paslaugų, susijusių su keleivių vežimu, teikimą, taip pat į savivaldybėse keleivių vežimo paslaugas teikiančias įmones, kurios šiuo metu keleiviams vežti naudoja senas, taršias, nepatrauklias ir specialiuosius poreikius turintiems žmonėms nepritaikytas transporto priemones. Veikla taip pat orientuota į tuos gyventojus, </w:t>
            </w:r>
            <w:r>
              <w:rPr>
                <w:szCs w:val="24"/>
              </w:rPr>
              <w:t>kuriems keliavimas viešuoju transportu yra patrauklesnis nei kelionės nuosavu automobiliu dėl jų gyvenimo būdo, pajamų, gyvenamosios vietos, įpročių, amžiaus, socialinės padėties ir pan., ir į tuos, kurie dėl įgyvendintos veiklos galimai atsisakys nuosavo automobilio.</w:t>
            </w:r>
            <w:r>
              <w:rPr>
                <w:iCs/>
                <w:szCs w:val="24"/>
              </w:rPr>
              <w:t xml:space="preserve"> Netiesioginiai naudos gavėjai – visi Lietuvos Respublikos gyventojai, bet ypač savivaldybių, kuriose bus įgyvendinamos veiklos, gyventojai, kadangi dėl poveikio tiesioginių naudos gavėjų grupėje jie gaus naudą, tokią kaip sumažėjęs išmetamų ŠESD kiekis bei oro tarša.</w:t>
            </w:r>
          </w:p>
        </w:tc>
      </w:tr>
      <w:tr w:rsidR="00E55C1F" w14:paraId="5E333DF7" w14:textId="77777777">
        <w:trPr>
          <w:trHeight w:val="285"/>
        </w:trPr>
        <w:tc>
          <w:tcPr>
            <w:tcW w:w="15134" w:type="dxa"/>
          </w:tcPr>
          <w:p w14:paraId="70CC06F1" w14:textId="77777777" w:rsidR="00E55C1F" w:rsidRDefault="008E1F26">
            <w:pPr>
              <w:rPr>
                <w:sz w:val="22"/>
                <w:szCs w:val="22"/>
              </w:rPr>
            </w:pPr>
            <w:r>
              <w:rPr>
                <w:b/>
                <w:szCs w:val="24"/>
              </w:rPr>
              <w:t>5</w:t>
            </w:r>
            <w:r>
              <w:rPr>
                <w:szCs w:val="24"/>
              </w:rPr>
              <w:t xml:space="preserve">. </w:t>
            </w:r>
            <w:r>
              <w:rPr>
                <w:b/>
                <w:szCs w:val="24"/>
              </w:rPr>
              <w:t>Horizontaliųjų principų (toliau – HP) reikalavimai</w:t>
            </w:r>
          </w:p>
        </w:tc>
      </w:tr>
      <w:tr w:rsidR="00E55C1F" w14:paraId="47181847" w14:textId="77777777">
        <w:tc>
          <w:tcPr>
            <w:tcW w:w="15134" w:type="dxa"/>
          </w:tcPr>
          <w:p w14:paraId="6EDD14A7" w14:textId="77777777" w:rsidR="00E55C1F" w:rsidRDefault="008E1F26">
            <w:pPr>
              <w:jc w:val="both"/>
              <w:rPr>
                <w:szCs w:val="24"/>
                <w:lang w:eastAsia="lt-LT"/>
              </w:rPr>
            </w:pPr>
            <w:r>
              <w:rPr>
                <w:szCs w:val="24"/>
              </w:rPr>
              <w:lastRenderedPageBreak/>
              <w:t>5</w:t>
            </w:r>
            <w:r>
              <w:rPr>
                <w:szCs w:val="24"/>
                <w:lang w:eastAsia="lt-LT"/>
              </w:rPr>
              <w:t>.1. 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transporto prieinamumo ir pan.); inovatyvumo (kūrybingumo) (įgyvendinant veiklas vykdomi inovatyvūs viešieji pirkimai, taikomos naujos technologijos, kuriami ar diegiami inovatyvūs sprendimai ir pan.).</w:t>
            </w:r>
          </w:p>
          <w:p w14:paraId="326E4866" w14:textId="77777777" w:rsidR="00E55C1F" w:rsidRDefault="008E1F26">
            <w:pPr>
              <w:jc w:val="both"/>
              <w:rPr>
                <w:szCs w:val="24"/>
                <w:lang w:eastAsia="lt-LT"/>
              </w:rPr>
            </w:pPr>
            <w:r>
              <w:rPr>
                <w:szCs w:val="24"/>
                <w:lang w:eastAsia="lt-LT"/>
              </w:rPr>
              <w:t>5.2. 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4BDC431A" w14:textId="77777777" w:rsidR="00E55C1F" w:rsidRDefault="008E1F26">
            <w:pPr>
              <w:jc w:val="both"/>
              <w:rPr>
                <w:szCs w:val="24"/>
                <w:lang w:eastAsia="lt-LT"/>
              </w:rPr>
            </w:pPr>
            <w:r>
              <w:rPr>
                <w:szCs w:val="24"/>
                <w:lang w:eastAsia="lt-LT"/>
              </w:rPr>
              <w:t>5.3. 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5C071250" w14:textId="77777777" w:rsidR="00E55C1F" w:rsidRDefault="008E1F26">
            <w:pPr>
              <w:jc w:val="both"/>
              <w:rPr>
                <w:szCs w:val="24"/>
                <w:lang w:eastAsia="lt-LT"/>
              </w:rPr>
            </w:pPr>
            <w:r>
              <w:rPr>
                <w:szCs w:val="24"/>
                <w:lang w:eastAsia="lt-LT"/>
              </w:rPr>
              <w:t>5.4. Visos įsigyjamos viešojo transporto priemonės turi atitikti Viešojo transporto priemonių pritaikymo neįgaliesiems ir riboto judumo asmenims reikalavimų apraše nustatytus reikalavimus.</w:t>
            </w:r>
          </w:p>
          <w:p w14:paraId="1656670C" w14:textId="77777777" w:rsidR="00E55C1F" w:rsidRDefault="008E1F26">
            <w:pPr>
              <w:jc w:val="both"/>
              <w:rPr>
                <w:szCs w:val="24"/>
                <w:lang w:eastAsia="lt-LT"/>
              </w:rPr>
            </w:pPr>
            <w:r>
              <w:rPr>
                <w:szCs w:val="24"/>
                <w:lang w:eastAsia="lt-LT"/>
              </w:rPr>
              <w:t>5.5. Siekiant užtikrinti geriausius ir patogiausius sprendimus naudoti judėjimo, regos, klausos ar kitą negalią turintiems asmenims, visi įgyvendinami sprendimai, diegiant universalaus dizaino ir kitas inžinerines priemones, rengiant statinio projektą, turi būti suderinti su neįgaliųjų organizacijomis Statybos įstatymo ir kitų teisės aktų nustatyta tvarka.</w:t>
            </w:r>
          </w:p>
          <w:p w14:paraId="0BBC04FD" w14:textId="77777777" w:rsidR="00E55C1F" w:rsidRDefault="008E1F26">
            <w:pPr>
              <w:jc w:val="both"/>
              <w:rPr>
                <w:i/>
                <w:iCs/>
                <w:sz w:val="22"/>
                <w:szCs w:val="22"/>
              </w:rPr>
            </w:pPr>
            <w:r>
              <w:rPr>
                <w:szCs w:val="24"/>
                <w:lang w:eastAsia="lt-LT"/>
              </w:rPr>
              <w:t>5.6. Projektų atitiktį reikšmingos žalos nedarymo horizontaliajam principui įvertina CPVA, vertindama Projekto (įskaitant jungtinį projektą) atitikties reikšmingos žalos nedarymo horizontaliajam principui vertinimo reikalavimų apraše (Aprašo 1 priedas) nurodytus pagrindimo dokumentus.</w:t>
            </w:r>
          </w:p>
        </w:tc>
      </w:tr>
      <w:tr w:rsidR="00E55C1F" w14:paraId="75BB588B" w14:textId="77777777">
        <w:tc>
          <w:tcPr>
            <w:tcW w:w="15134" w:type="dxa"/>
          </w:tcPr>
          <w:p w14:paraId="026848BE" w14:textId="77777777" w:rsidR="00E55C1F" w:rsidRDefault="008E1F26">
            <w:pPr>
              <w:spacing w:line="259" w:lineRule="auto"/>
              <w:jc w:val="both"/>
              <w:rPr>
                <w:b/>
                <w:iCs/>
                <w:szCs w:val="24"/>
              </w:rPr>
            </w:pPr>
            <w:r>
              <w:rPr>
                <w:b/>
                <w:iCs/>
                <w:szCs w:val="24"/>
              </w:rPr>
              <w:t>6. Europos Sąjungos pagrindinių teisių chartijos (toliau – Chartija) reikalavimai</w:t>
            </w:r>
          </w:p>
        </w:tc>
      </w:tr>
      <w:tr w:rsidR="00E55C1F" w14:paraId="7FE89F72" w14:textId="77777777">
        <w:tc>
          <w:tcPr>
            <w:tcW w:w="15134" w:type="dxa"/>
          </w:tcPr>
          <w:p w14:paraId="2F40BD31" w14:textId="77777777" w:rsidR="00E55C1F" w:rsidRDefault="008E1F26">
            <w:pPr>
              <w:jc w:val="both"/>
              <w:rPr>
                <w:iCs/>
                <w:szCs w:val="24"/>
                <w:lang w:eastAsia="lt-LT"/>
              </w:rPr>
            </w:pPr>
            <w:r>
              <w:rPr>
                <w:color w:val="000000"/>
                <w:szCs w:val="24"/>
              </w:rPr>
              <w:t xml:space="preserve">Pagal Aprašą finansuojamos veiklos </w:t>
            </w:r>
            <w:r>
              <w:rPr>
                <w:iCs/>
                <w:szCs w:val="24"/>
                <w:lang w:eastAsia="lt-LT"/>
              </w:rPr>
              <w:t>nepažeidžia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61A6D28C" w14:textId="77777777" w:rsidR="00E55C1F" w:rsidRDefault="008E1F26">
            <w:pPr>
              <w:jc w:val="both"/>
              <w:rPr>
                <w:iCs/>
                <w:szCs w:val="24"/>
                <w:lang w:eastAsia="lt-LT"/>
              </w:rPr>
            </w:pPr>
            <w:r>
              <w:rPr>
                <w:iCs/>
                <w:szCs w:val="24"/>
                <w:lang w:eastAsia="lt-LT"/>
              </w:rPr>
              <w:t>Įgyvendinant projekto veiklas negali būti pažeista Chartijoje įtvirtinta teisė į nuosavybę (žemę, kilnojamąjį turtą, materialųjį ir nematerialųjį turtą).</w:t>
            </w:r>
          </w:p>
          <w:p w14:paraId="57E82537" w14:textId="77777777" w:rsidR="00E55C1F" w:rsidRDefault="008E1F26">
            <w:pPr>
              <w:jc w:val="both"/>
              <w:rPr>
                <w:i/>
                <w:iCs/>
                <w:sz w:val="22"/>
                <w:szCs w:val="22"/>
              </w:rPr>
            </w:pPr>
            <w:r>
              <w:rPr>
                <w:color w:val="000000"/>
                <w:szCs w:val="24"/>
              </w:rPr>
              <w:t xml:space="preserve">Pagal Aprašą finansuojamos </w:t>
            </w:r>
            <w:r>
              <w:rPr>
                <w:iCs/>
                <w:szCs w:val="24"/>
                <w:lang w:eastAsia="lt-LT"/>
              </w:rPr>
              <w:t>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w:t>
            </w:r>
          </w:p>
        </w:tc>
      </w:tr>
      <w:tr w:rsidR="00E55C1F" w14:paraId="3629EEBD" w14:textId="77777777">
        <w:tc>
          <w:tcPr>
            <w:tcW w:w="15134" w:type="dxa"/>
          </w:tcPr>
          <w:p w14:paraId="1A39CAE8" w14:textId="77777777" w:rsidR="00E55C1F" w:rsidRDefault="008E1F26">
            <w:pPr>
              <w:rPr>
                <w:b/>
                <w:szCs w:val="24"/>
              </w:rPr>
            </w:pPr>
            <w:r>
              <w:rPr>
                <w:b/>
                <w:szCs w:val="24"/>
              </w:rPr>
              <w:t>7. Apskritis, kurioje gali būti įgyvendinami projektai</w:t>
            </w:r>
          </w:p>
        </w:tc>
      </w:tr>
      <w:tr w:rsidR="00E55C1F" w14:paraId="21369195" w14:textId="77777777">
        <w:tc>
          <w:tcPr>
            <w:tcW w:w="15134" w:type="dxa"/>
          </w:tcPr>
          <w:p w14:paraId="01B894F1" w14:textId="77777777" w:rsidR="00E55C1F" w:rsidRDefault="008E1F26">
            <w:pPr>
              <w:jc w:val="both"/>
              <w:rPr>
                <w:i/>
                <w:sz w:val="22"/>
                <w:szCs w:val="22"/>
              </w:rPr>
            </w:pPr>
            <w:r>
              <w:rPr>
                <w:szCs w:val="24"/>
              </w:rPr>
              <w:t>Netaikomas.</w:t>
            </w:r>
          </w:p>
        </w:tc>
      </w:tr>
      <w:tr w:rsidR="00E55C1F" w14:paraId="3847CA67" w14:textId="77777777">
        <w:tc>
          <w:tcPr>
            <w:tcW w:w="15134" w:type="dxa"/>
          </w:tcPr>
          <w:p w14:paraId="457BC52B" w14:textId="77777777" w:rsidR="00E55C1F" w:rsidRDefault="008E1F26">
            <w:pPr>
              <w:jc w:val="both"/>
              <w:rPr>
                <w:szCs w:val="24"/>
              </w:rPr>
            </w:pPr>
            <w:r>
              <w:rPr>
                <w:b/>
                <w:szCs w:val="24"/>
              </w:rPr>
              <w:t>8.</w:t>
            </w:r>
            <w:r>
              <w:rPr>
                <w:szCs w:val="24"/>
              </w:rPr>
              <w:t xml:space="preserve"> </w:t>
            </w:r>
            <w:r>
              <w:rPr>
                <w:b/>
                <w:szCs w:val="24"/>
              </w:rPr>
              <w:t>Reikalavimai valstybės pagalbai (kurie nėra nurodyti kituose Aprašo punktuose)</w:t>
            </w:r>
          </w:p>
        </w:tc>
      </w:tr>
      <w:tr w:rsidR="00E55C1F" w14:paraId="2A59E040" w14:textId="77777777">
        <w:tc>
          <w:tcPr>
            <w:tcW w:w="15134" w:type="dxa"/>
          </w:tcPr>
          <w:p w14:paraId="352CABB5" w14:textId="77777777" w:rsidR="00E55C1F" w:rsidRDefault="008E1F26">
            <w:pPr>
              <w:tabs>
                <w:tab w:val="left" w:pos="451"/>
              </w:tabs>
              <w:jc w:val="both"/>
              <w:rPr>
                <w:szCs w:val="24"/>
                <w:lang w:eastAsia="lt-LT"/>
              </w:rPr>
            </w:pPr>
            <w:r>
              <w:lastRenderedPageBreak/>
              <w:t>8.1. Pagal Aprašą projektui teikiama valstybės pagalba, kaip ji apibrėžta Sutarties dėl Europos Sąjungos veikimo 107 straipsnyje. Visai netaršioms transporto priemonėms įsigyti finansavimas skiriamas kaip valstybės pagalba, kuri teikiama pagal Reglamento (ES) Nr. 651/2014 36b straipsnį. Į</w:t>
            </w:r>
            <w:r>
              <w:rPr>
                <w:szCs w:val="24"/>
                <w:shd w:val="clear" w:color="auto" w:fill="FFFFFF"/>
              </w:rPr>
              <w:t>sigyjamoms visai netaršioms transporto priemonėms įkrauti / pildyti būtinai</w:t>
            </w:r>
            <w:r>
              <w:t xml:space="preserve"> infrastruktūrai </w:t>
            </w:r>
            <w:r>
              <w:rPr>
                <w:rFonts w:eastAsia="Calibri"/>
                <w:szCs w:val="24"/>
              </w:rPr>
              <w:t xml:space="preserve">finansuoti teikiama </w:t>
            </w:r>
            <w:r>
              <w:rPr>
                <w:i/>
                <w:iCs/>
                <w:color w:val="000000"/>
                <w:szCs w:val="24"/>
              </w:rPr>
              <w:t xml:space="preserve">de minimis </w:t>
            </w:r>
            <w:r>
              <w:rPr>
                <w:color w:val="000000"/>
                <w:szCs w:val="24"/>
              </w:rPr>
              <w:t>pagalba,</w:t>
            </w:r>
            <w:r>
              <w:rPr>
                <w:rFonts w:eastAsia="Calibri"/>
                <w:szCs w:val="24"/>
              </w:rPr>
              <w:t xml:space="preserve"> </w:t>
            </w:r>
            <w:r>
              <w:rPr>
                <w:szCs w:val="24"/>
                <w:lang w:eastAsia="lt-LT"/>
              </w:rPr>
              <w:t>vadovaujantis R</w:t>
            </w:r>
            <w:r>
              <w:t xml:space="preserve">eglamento (ES) </w:t>
            </w:r>
            <w:r>
              <w:rPr>
                <w:shd w:val="clear" w:color="auto" w:fill="FFFFFF"/>
              </w:rPr>
              <w:t xml:space="preserve">2023/2831 </w:t>
            </w:r>
            <w:r>
              <w:rPr>
                <w:szCs w:val="24"/>
                <w:lang w:eastAsia="lt-LT"/>
              </w:rPr>
              <w:t>nuostatomis.</w:t>
            </w:r>
          </w:p>
          <w:p w14:paraId="0DC413E0" w14:textId="77777777" w:rsidR="00E55C1F" w:rsidRDefault="008E1F26">
            <w:pPr>
              <w:tabs>
                <w:tab w:val="left" w:pos="451"/>
              </w:tabs>
              <w:jc w:val="both"/>
              <w:rPr>
                <w:color w:val="000000"/>
              </w:rPr>
            </w:pPr>
            <w:r>
              <w:rPr>
                <w:szCs w:val="24"/>
                <w:lang w:eastAsia="lt-LT"/>
              </w:rPr>
              <w:t xml:space="preserve">8.2. </w:t>
            </w:r>
            <w:r>
              <w:rPr>
                <w:color w:val="000000"/>
              </w:rPr>
              <w:t>Didžiausia galima skirti projektui finansavimo lėšų suma nurodyta Aprašo 2.6 papunktyje.</w:t>
            </w:r>
          </w:p>
          <w:p w14:paraId="363B390A" w14:textId="77777777" w:rsidR="00E55C1F" w:rsidRDefault="008E1F26">
            <w:pPr>
              <w:jc w:val="both"/>
              <w:rPr>
                <w:szCs w:val="24"/>
                <w:shd w:val="clear" w:color="auto" w:fill="FFFFFF"/>
              </w:rPr>
            </w:pPr>
            <w:r>
              <w:rPr>
                <w:szCs w:val="24"/>
                <w:shd w:val="clear" w:color="auto" w:fill="FFFFFF"/>
              </w:rPr>
              <w:t>8.3. Visai netaršiai transporto priemonei įsigyti tinkamas finansavimas yra papildomos investicinės išlaidos, būtinos siekiant taikyti griežtesnius standartus, nei taikomi Europos Sąjungoje, apskaičiuojamos kaip visai netaršios transporto priemonės įsigijimo investicinių išlaidų ir tos pačios kategorijos transporto priemonės, kuri atitinka Europos Sąjungos standartus ir būtų įsigyta be pagalbos, įsigijimo investicinių išlaidų skirtumas (Reglamento (ES) Nr. 651/2014 36b straipsnio 3 dalies a punktas); tinkamas finansavimas yra 100 procentų šių išlaidų (Reglamento (ES) Nr. 651/2014 36b straipsnio 5 dalies a punktas).</w:t>
            </w:r>
          </w:p>
          <w:p w14:paraId="1908051C" w14:textId="77777777" w:rsidR="00E55C1F" w:rsidRDefault="008E1F26">
            <w:pPr>
              <w:jc w:val="both"/>
              <w:rPr>
                <w:szCs w:val="24"/>
              </w:rPr>
            </w:pPr>
            <w:r>
              <w:rPr>
                <w:szCs w:val="24"/>
                <w:shd w:val="clear" w:color="auto" w:fill="FFFFFF"/>
              </w:rPr>
              <w:t xml:space="preserve">8.4. Visai netaršių transporto priemonių įkrovimo / pildymo infrastruktūrai įrengti tinkamas finansavimas – elektros įkrovimo / degalų pildymo įrangos </w:t>
            </w:r>
            <w:r>
              <w:rPr>
                <w:szCs w:val="24"/>
              </w:rPr>
              <w:t>įsigijimo ir montavimo, infrastruktūros statybos darbų išlaidos.</w:t>
            </w:r>
          </w:p>
          <w:p w14:paraId="63B8B9CB" w14:textId="77777777" w:rsidR="00E55C1F" w:rsidRDefault="008E1F26">
            <w:pPr>
              <w:tabs>
                <w:tab w:val="left" w:pos="690"/>
                <w:tab w:val="left" w:pos="1140"/>
              </w:tabs>
              <w:spacing w:line="259" w:lineRule="auto"/>
              <w:jc w:val="both"/>
              <w:rPr>
                <w:szCs w:val="24"/>
              </w:rPr>
            </w:pPr>
            <w:r>
              <w:rPr>
                <w:color w:val="000000"/>
              </w:rPr>
              <w:t>8.5. Valstybės pagalbai visai netaršioms transporto priemonėms įsigyti taikomi</w:t>
            </w:r>
            <w:r>
              <w:t xml:space="preserve"> </w:t>
            </w:r>
            <w:r>
              <w:rPr>
                <w:color w:val="000000"/>
              </w:rPr>
              <w:t>Reglamento (ES) Nr. 651/2014 reikalavimai:</w:t>
            </w:r>
          </w:p>
          <w:p w14:paraId="40BC8A8C" w14:textId="77777777" w:rsidR="00E55C1F" w:rsidRDefault="008E1F26">
            <w:pPr>
              <w:jc w:val="both"/>
              <w:rPr>
                <w:szCs w:val="24"/>
              </w:rPr>
            </w:pPr>
            <w:r>
              <w:rPr>
                <w:color w:val="000000"/>
              </w:rPr>
              <w:t>8.5.1.</w:t>
            </w:r>
            <w:r>
              <w:rPr>
                <w:szCs w:val="24"/>
              </w:rPr>
              <w:t xml:space="preserve"> Valstybės pagalba neteikiama:</w:t>
            </w:r>
          </w:p>
          <w:p w14:paraId="1C1BE29F" w14:textId="77777777" w:rsidR="00E55C1F" w:rsidRDefault="008E1F26">
            <w:pPr>
              <w:jc w:val="both"/>
              <w:rPr>
                <w:szCs w:val="24"/>
              </w:rPr>
            </w:pPr>
            <w:r>
              <w:rPr>
                <w:szCs w:val="24"/>
              </w:rPr>
              <w:t xml:space="preserve">8.5.1.1. </w:t>
            </w:r>
            <w:r>
              <w:rPr>
                <w:color w:val="000000"/>
                <w:szCs w:val="24"/>
                <w:lang w:eastAsia="lt-LT"/>
              </w:rPr>
              <w:t>Reglamento</w:t>
            </w:r>
            <w:r>
              <w:rPr>
                <w:szCs w:val="24"/>
              </w:rPr>
              <w:t xml:space="preserve"> (ES) Nr. 651/2014 1 straipsnio 3 dalyje nustatytiems sektoriams;</w:t>
            </w:r>
          </w:p>
          <w:p w14:paraId="74D1A55B" w14:textId="77777777" w:rsidR="00E55C1F" w:rsidRDefault="008E1F26">
            <w:pPr>
              <w:jc w:val="both"/>
              <w:rPr>
                <w:szCs w:val="24"/>
              </w:rPr>
            </w:pPr>
            <w:r>
              <w:rPr>
                <w:szCs w:val="24"/>
              </w:rPr>
              <w:t>8.5.1.2.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Lietuvos vidaus rinka gauta valstybės pagalba;</w:t>
            </w:r>
          </w:p>
          <w:p w14:paraId="29C18BB9" w14:textId="77777777" w:rsidR="00E55C1F" w:rsidRDefault="008E1F26">
            <w:pPr>
              <w:jc w:val="both"/>
              <w:rPr>
                <w:szCs w:val="24"/>
              </w:rPr>
            </w:pPr>
            <w:r>
              <w:rPr>
                <w:szCs w:val="24"/>
              </w:rPr>
              <w:t>8.5.1.3. sunkumus patiriančioms įmonėms, kaip apibrėžta Reglamento (ES) Nr. 651/2014 2 straipsnio 18 punkte;</w:t>
            </w:r>
          </w:p>
          <w:p w14:paraId="0119EED5" w14:textId="77777777" w:rsidR="00E55C1F" w:rsidRDefault="008E1F26">
            <w:pPr>
              <w:jc w:val="both"/>
            </w:pPr>
            <w:r>
              <w:rPr>
                <w:color w:val="333333"/>
              </w:rPr>
              <w:t xml:space="preserve">8.5.1.4. </w:t>
            </w:r>
            <w:r>
              <w:t xml:space="preserve">jei vienos įmonės vienam investiciniam projektui pagalbos dydis viršytų Aprašo 2.6 papunktyje nurodytą sumą (Reglamento (ES) Nr. 651/2014 4 straipsnio </w:t>
            </w:r>
            <w:r>
              <w:rPr>
                <w:iCs/>
                <w:szCs w:val="24"/>
              </w:rPr>
              <w:t xml:space="preserve">1 dalies </w:t>
            </w:r>
            <w:r>
              <w:t>s punktas);</w:t>
            </w:r>
          </w:p>
          <w:p w14:paraId="5AEC24D0" w14:textId="77777777" w:rsidR="00E55C1F" w:rsidRDefault="008E1F26">
            <w:pPr>
              <w:tabs>
                <w:tab w:val="left" w:pos="0"/>
                <w:tab w:val="left" w:pos="452"/>
              </w:tabs>
              <w:jc w:val="both"/>
              <w:rPr>
                <w:szCs w:val="24"/>
              </w:rPr>
            </w:pPr>
            <w:r>
              <w:rPr>
                <w:lang w:eastAsia="lt-LT"/>
              </w:rPr>
              <w:t xml:space="preserve">8.5.1.5. jei </w:t>
            </w:r>
            <w:r>
              <w:rPr>
                <w:color w:val="000000"/>
                <w:shd w:val="clear" w:color="auto" w:fill="FFFFFF"/>
              </w:rPr>
              <w:t>pagalbos suteikimas būtų susietas su įpareigojimu pagalbos gavėjui turėti būstinę Lietuvoje arba būti iš esmės įsisteigusiam Lietuvoje ar su įpareigojimu pagalbos gavėjui naudoti Lietuvoje pagamintas prekes arba teikiamas paslaugas, ar būtų ribojamos pagalbos gavėjų galimybės naudoti mokslinių tyrimų, technologinės plėtros ir inovacijų rezultatus kitose valstybėse narėse (</w:t>
            </w:r>
            <w:r>
              <w:rPr>
                <w:lang w:eastAsia="lt-LT"/>
              </w:rPr>
              <w:t>R</w:t>
            </w:r>
            <w:r>
              <w:t>eglamento (ES) Nr. 651/2014 1 straipsnio 5 dalis);</w:t>
            </w:r>
          </w:p>
          <w:p w14:paraId="304D2BB0" w14:textId="77777777" w:rsidR="00E55C1F" w:rsidRDefault="008E1F26">
            <w:pPr>
              <w:jc w:val="both"/>
              <w:rPr>
                <w:b/>
                <w:bCs/>
                <w:szCs w:val="24"/>
              </w:rPr>
            </w:pPr>
            <w:r>
              <w:rPr>
                <w:color w:val="000000"/>
                <w:shd w:val="clear" w:color="auto" w:fill="FFFFFF"/>
              </w:rPr>
              <w:t>8.5.1.6. jei pagalba būtų teikiama branduolinės energijos gamybai</w:t>
            </w:r>
            <w:r>
              <w:rPr>
                <w:rFonts w:eastAsia="Calibri"/>
                <w:lang w:eastAsia="lt-LT"/>
              </w:rPr>
              <w:t xml:space="preserve"> (R</w:t>
            </w:r>
            <w:r>
              <w:t>eglamento (ES) Nr. 651/2014</w:t>
            </w:r>
            <w:r>
              <w:rPr>
                <w:rFonts w:eastAsia="Calibri"/>
                <w:lang w:eastAsia="lt-LT"/>
              </w:rPr>
              <w:t xml:space="preserve"> 1 straipsnio 6 dalis);</w:t>
            </w:r>
          </w:p>
          <w:p w14:paraId="1B91C200" w14:textId="77777777" w:rsidR="00E55C1F" w:rsidRDefault="008E1F26">
            <w:pPr>
              <w:jc w:val="both"/>
              <w:rPr>
                <w:szCs w:val="24"/>
              </w:rPr>
            </w:pPr>
            <w:r>
              <w:rPr>
                <w:szCs w:val="24"/>
              </w:rPr>
              <w:t>8.5.1.7. skatinamojo poveikio, nustatyto Reglamento (ES) Nr. 651/2014 6 straipsnyje, neturinčiai pagalbai.</w:t>
            </w:r>
          </w:p>
          <w:p w14:paraId="41CC4348" w14:textId="77777777" w:rsidR="00E55C1F" w:rsidRDefault="008E1F26">
            <w:pPr>
              <w:jc w:val="both"/>
            </w:pPr>
            <w:r>
              <w:rPr>
                <w:szCs w:val="24"/>
              </w:rPr>
              <w:t>8.5.2.</w:t>
            </w:r>
            <w:r>
              <w:t xml:space="preserve"> Valstybės pagalba, kurios tinkamas finansuoti išlaidas galima nustatyti ir kuriai pagal Reglamentą (ES) Nr. 651/2014 taikoma išimtis, gali būti sumuojama su:</w:t>
            </w:r>
          </w:p>
          <w:p w14:paraId="543DED5B" w14:textId="77777777" w:rsidR="00E55C1F" w:rsidRDefault="008E1F26">
            <w:pPr>
              <w:jc w:val="both"/>
            </w:pPr>
            <w:r>
              <w:t>8.5.2.1. bet kokia kita valstybės pagalba, jei tos veiklos yra susijusios su skirtingomis tinkamomis finansuoti išlaidomis, kurias galima nustatyti;</w:t>
            </w:r>
          </w:p>
          <w:p w14:paraId="66C7B1D8" w14:textId="77777777" w:rsidR="00E55C1F" w:rsidRDefault="008E1F26">
            <w:pPr>
              <w:jc w:val="both"/>
            </w:pPr>
            <w:r>
              <w:t>8.5.2.2. bet kokia kita valstybės pagalba, susijusia su tomis pačiomis tinkamomis finansuoti išlaidomis, kurios iš dalies arba visiškai sutampa, tik jeigu taip susumavus didžiausia pagalbos suma neviršija Reglamento (ES) Nr. 651/2014 36b straipsnio 5 dalyje nustatyto intensyvumo.</w:t>
            </w:r>
          </w:p>
          <w:p w14:paraId="15FE99FE" w14:textId="77777777" w:rsidR="00E55C1F" w:rsidRDefault="008E1F26">
            <w:pPr>
              <w:jc w:val="both"/>
            </w:pPr>
            <w:r>
              <w:t xml:space="preserve">8.5.3. Valstybės pagalba, kuriai pagal Reglamentą (ES) Nr. 651/2014 taikoma išimtis, nesumuojama su jokia </w:t>
            </w:r>
            <w:r>
              <w:rPr>
                <w:i/>
                <w:iCs/>
              </w:rPr>
              <w:t xml:space="preserve">de minimis </w:t>
            </w:r>
            <w:r>
              <w:t>pagalba, susijusia su tomis pačiomis tinkamomis finansuoti išlaidomis, jei susumavus būtų viršytas pagalbos intensyvumas, kaip nustatyta Reglamento (ES) Nr. 651/2014 8 straipsnio 5 dalyje, (Reglamento (ES) Nr. 651/2014 36b straipsnio 5 dalis).</w:t>
            </w:r>
          </w:p>
          <w:p w14:paraId="636655AD" w14:textId="77777777" w:rsidR="00E55C1F" w:rsidRDefault="008E1F26">
            <w:pPr>
              <w:tabs>
                <w:tab w:val="left" w:pos="609"/>
              </w:tabs>
              <w:spacing w:line="259" w:lineRule="auto"/>
              <w:jc w:val="both"/>
              <w:rPr>
                <w:i/>
                <w:iCs/>
                <w:szCs w:val="24"/>
              </w:rPr>
            </w:pPr>
            <w:r>
              <w:rPr>
                <w:iCs/>
                <w:szCs w:val="24"/>
              </w:rPr>
              <w:t xml:space="preserve">8.5.4. Draudžiama dirbtinai skaidyti pagalbos schemas arba pagalbos projektus, kaip numatyta </w:t>
            </w:r>
            <w:r>
              <w:t xml:space="preserve">Reglamento (ES) Nr. 651/2014 </w:t>
            </w:r>
            <w:r>
              <w:rPr>
                <w:iCs/>
                <w:szCs w:val="24"/>
              </w:rPr>
              <w:t>4 straipsnio 2 dalyje, siekiant apeiti Aprašo 2.6 papunktyje numatytą leistiną pagalbos ribą.</w:t>
            </w:r>
          </w:p>
          <w:p w14:paraId="67F1B4B9" w14:textId="77777777" w:rsidR="00E55C1F" w:rsidRDefault="008E1F26">
            <w:pPr>
              <w:tabs>
                <w:tab w:val="left" w:pos="0"/>
                <w:tab w:val="left" w:pos="451"/>
                <w:tab w:val="left" w:pos="11719"/>
              </w:tabs>
              <w:jc w:val="both"/>
              <w:rPr>
                <w:szCs w:val="24"/>
              </w:rPr>
            </w:pPr>
            <w:r>
              <w:rPr>
                <w:color w:val="000000"/>
                <w:shd w:val="clear" w:color="auto" w:fill="FFFFFF"/>
              </w:rPr>
              <w:lastRenderedPageBreak/>
              <w:t>8.5.5. Apskaičiuojant pagalbos intensyvumą ir tinkamas finansuoti išlaidas, visi naudojami skaičiai imami prieš bet kokį mokesčių ar kitokios rinkliavos atskaitymą</w:t>
            </w:r>
            <w:r>
              <w:t xml:space="preserve"> (Reglamento (ES) Nr. 651/2014 7 straipsnio 1 dalis).</w:t>
            </w:r>
          </w:p>
          <w:p w14:paraId="3EAF061B" w14:textId="77777777" w:rsidR="00E55C1F" w:rsidRDefault="008E1F26">
            <w:pPr>
              <w:jc w:val="both"/>
            </w:pPr>
            <w:r>
              <w:t xml:space="preserve">8.5.6. </w:t>
            </w:r>
            <w:r>
              <w:rPr>
                <w:rFonts w:eastAsia="Arial Unicode MS"/>
                <w:szCs w:val="24"/>
                <w:shd w:val="clear" w:color="auto" w:fill="FFFFFF"/>
              </w:rPr>
              <w:t>Ateityje mokėtina pagalba, įskaitant keliomis dalimis mokamą pagalbą, diskontuojama iki suteikimo momentu esamos jos vertės.</w:t>
            </w:r>
            <w:r>
              <w:rPr>
                <w:rFonts w:eastAsia="Arial Unicode MS"/>
              </w:rPr>
              <w:t xml:space="preserve"> </w:t>
            </w:r>
            <w:r>
              <w:rPr>
                <w:rFonts w:eastAsia="Arial Unicode MS"/>
                <w:szCs w:val="24"/>
                <w:shd w:val="clear" w:color="auto" w:fill="FFFFFF"/>
              </w:rPr>
              <w:t>Tinkamos finansuoti išlaidos diskontuojamos iki jų vertės pagalbos suteikimo metu. Palūkanų norma, naudojama diskontuojant, yra pagalbos suteikimo metu taikoma diskonto norma (</w:t>
            </w:r>
            <w:r>
              <w:t>Reglamento (ES) Nr. 651/2014 7 straipsnio 3 dalis).</w:t>
            </w:r>
          </w:p>
          <w:p w14:paraId="5B8A1F09" w14:textId="77777777" w:rsidR="00E55C1F" w:rsidRDefault="008E1F26">
            <w:pPr>
              <w:jc w:val="both"/>
            </w:pPr>
            <w:r>
              <w:t xml:space="preserve">8.6. </w:t>
            </w:r>
            <w:r>
              <w:rPr>
                <w:szCs w:val="24"/>
              </w:rPr>
              <w:t>Į</w:t>
            </w:r>
            <w:r>
              <w:rPr>
                <w:szCs w:val="24"/>
                <w:shd w:val="clear" w:color="auto" w:fill="FFFFFF"/>
              </w:rPr>
              <w:t>sigyjamoms visiškai netaršioms transporto priemonėms įkrauti / pildyti būtinai</w:t>
            </w:r>
            <w:r>
              <w:rPr>
                <w:szCs w:val="24"/>
              </w:rPr>
              <w:t xml:space="preserve"> infrastruktūrai</w:t>
            </w:r>
            <w:r>
              <w:t xml:space="preserve"> </w:t>
            </w:r>
            <w:r>
              <w:rPr>
                <w:rFonts w:eastAsia="Calibri"/>
                <w:szCs w:val="24"/>
              </w:rPr>
              <w:t xml:space="preserve">finansuoti taikomi </w:t>
            </w:r>
            <w:r>
              <w:rPr>
                <w:szCs w:val="24"/>
                <w:lang w:eastAsia="lt-LT"/>
              </w:rPr>
              <w:t>R</w:t>
            </w:r>
            <w:r>
              <w:t xml:space="preserve">eglamento (ES) </w:t>
            </w:r>
            <w:r>
              <w:rPr>
                <w:shd w:val="clear" w:color="auto" w:fill="FFFFFF"/>
              </w:rPr>
              <w:t xml:space="preserve">2023/2831 </w:t>
            </w:r>
            <w:r>
              <w:t>reikalavimai:</w:t>
            </w:r>
          </w:p>
          <w:p w14:paraId="5CD58551" w14:textId="77777777" w:rsidR="00E55C1F" w:rsidRDefault="008E1F26">
            <w:pPr>
              <w:tabs>
                <w:tab w:val="left" w:pos="690"/>
                <w:tab w:val="left" w:pos="1140"/>
              </w:tabs>
              <w:jc w:val="both"/>
            </w:pPr>
            <w:r>
              <w:t xml:space="preserve">8.6.1. </w:t>
            </w:r>
            <w:r>
              <w:rPr>
                <w:color w:val="000000"/>
              </w:rPr>
              <w:t xml:space="preserve">bendra </w:t>
            </w:r>
            <w:r>
              <w:rPr>
                <w:i/>
                <w:iCs/>
                <w:color w:val="000000"/>
              </w:rPr>
              <w:t xml:space="preserve">de minimis </w:t>
            </w:r>
            <w:r>
              <w:rPr>
                <w:color w:val="000000"/>
              </w:rPr>
              <w:t xml:space="preserve">pagalbos, suteiktos vienai įmonei, suma neturi viršyti </w:t>
            </w:r>
            <w:r>
              <w:rPr>
                <w:szCs w:val="24"/>
                <w:lang w:eastAsia="lt-LT"/>
              </w:rPr>
              <w:t>R</w:t>
            </w:r>
            <w:r>
              <w:t xml:space="preserve">eglamento (ES) </w:t>
            </w:r>
            <w:r>
              <w:rPr>
                <w:szCs w:val="24"/>
                <w:shd w:val="clear" w:color="auto" w:fill="FFFFFF"/>
              </w:rPr>
              <w:t>2023/2831</w:t>
            </w:r>
            <w:r>
              <w:t xml:space="preserve"> 3 straipsnio 2 dalyje nurodytos pagalbos sumos per bet kurį 3 finansinių metų laikotarpį; ši riba taikoma neatsižvelgiant į </w:t>
            </w:r>
            <w:r>
              <w:rPr>
                <w:i/>
                <w:iCs/>
              </w:rPr>
              <w:t xml:space="preserve">de minimis </w:t>
            </w:r>
            <w:r>
              <w:t xml:space="preserve">pagalbos formą arba siekiamus tikslus ir neatsižvelgiant į tai, ar valstybės narės suteikta pagalba yra visa arba iš dalies finansuojama Europos Sąjungos kilmės ištekliais; vienos įmonės sąvoka apima visus susijusius ūkio subjektus, kaip nurodyta </w:t>
            </w:r>
            <w:r>
              <w:rPr>
                <w:szCs w:val="24"/>
                <w:lang w:eastAsia="lt-LT"/>
              </w:rPr>
              <w:t>R</w:t>
            </w:r>
            <w:r>
              <w:t xml:space="preserve">eglamento (ES) </w:t>
            </w:r>
            <w:r>
              <w:rPr>
                <w:szCs w:val="24"/>
                <w:shd w:val="clear" w:color="auto" w:fill="FFFFFF"/>
              </w:rPr>
              <w:t>2023/2831</w:t>
            </w:r>
            <w:r>
              <w:t xml:space="preserve"> 2 straipsnio 2 dalyje;</w:t>
            </w:r>
          </w:p>
          <w:p w14:paraId="06686798" w14:textId="77777777" w:rsidR="00E55C1F" w:rsidRDefault="008E1F26">
            <w:pPr>
              <w:tabs>
                <w:tab w:val="left" w:pos="690"/>
                <w:tab w:val="left" w:pos="1140"/>
              </w:tabs>
              <w:jc w:val="both"/>
              <w:rPr>
                <w:szCs w:val="24"/>
              </w:rPr>
            </w:pPr>
            <w:r>
              <w:t xml:space="preserve">8.6.2. </w:t>
            </w:r>
            <w:r>
              <w:rPr>
                <w:i/>
                <w:iCs/>
              </w:rPr>
              <w:t xml:space="preserve">de minimis </w:t>
            </w:r>
            <w:r>
              <w:t>pagalba nesumuojama su valstybės pagalba, skiriama toms pačioms tinkamoms finansuoti sąnaudoms, jeigu dėl tokio pagalbos sumavimo būtų viršytas Reglamente (ES) Nr. 651/2014 arba Komisijos priimtame sprendime nustatytas didžiausias atitinkamas pagalbos intensyvumas arba kiekvienu atveju atskirai nustatyta pagalbos suma“;</w:t>
            </w:r>
          </w:p>
          <w:p w14:paraId="6E5AECA9" w14:textId="77777777" w:rsidR="00E55C1F" w:rsidRDefault="008E1F26">
            <w:pPr>
              <w:jc w:val="both"/>
              <w:rPr>
                <w:rFonts w:ascii="Arial" w:hAnsi="Arial" w:cs="Arial"/>
                <w:szCs w:val="24"/>
              </w:rPr>
            </w:pPr>
            <w:r>
              <w:t>8.</w:t>
            </w:r>
            <w:r>
              <w:rPr>
                <w:szCs w:val="24"/>
              </w:rPr>
              <w:t>6.3. j</w:t>
            </w:r>
            <w:r>
              <w:rPr>
                <w:color w:val="000000"/>
                <w:szCs w:val="24"/>
              </w:rPr>
              <w:t xml:space="preserve">eigu </w:t>
            </w:r>
            <w:r>
              <w:rPr>
                <w:i/>
                <w:iCs/>
                <w:color w:val="000000"/>
                <w:szCs w:val="24"/>
              </w:rPr>
              <w:t>de minimis</w:t>
            </w:r>
            <w:r>
              <w:rPr>
                <w:color w:val="000000"/>
                <w:szCs w:val="24"/>
              </w:rPr>
              <w:t xml:space="preserve"> pagalba išmokama keliomis dalimis, jos vertė yra diskontuojama iki vertės suteikimo momentu; palūkanų norma, naudojama diskontuojant, yra pagalbos suteikimo metu galiojusi diskonto norma, kaip nustatyta </w:t>
            </w:r>
            <w:r>
              <w:rPr>
                <w:szCs w:val="24"/>
                <w:lang w:eastAsia="lt-LT"/>
              </w:rPr>
              <w:t>R</w:t>
            </w:r>
            <w:r>
              <w:rPr>
                <w:szCs w:val="24"/>
              </w:rPr>
              <w:t xml:space="preserve">eglamento (ES) </w:t>
            </w:r>
            <w:r>
              <w:rPr>
                <w:szCs w:val="24"/>
                <w:shd w:val="clear" w:color="auto" w:fill="FFFFFF"/>
              </w:rPr>
              <w:t>2023/2831</w:t>
            </w:r>
            <w:r>
              <w:rPr>
                <w:szCs w:val="24"/>
              </w:rPr>
              <w:t xml:space="preserve"> 3</w:t>
            </w:r>
            <w:r>
              <w:rPr>
                <w:color w:val="000000"/>
                <w:szCs w:val="24"/>
              </w:rPr>
              <w:t xml:space="preserve"> straipsnio 6 dalyje;</w:t>
            </w:r>
          </w:p>
          <w:p w14:paraId="3136034F" w14:textId="77777777" w:rsidR="00E55C1F" w:rsidRDefault="008E1F26">
            <w:pPr>
              <w:tabs>
                <w:tab w:val="left" w:pos="420"/>
                <w:tab w:val="left" w:pos="1140"/>
              </w:tabs>
              <w:spacing w:line="259" w:lineRule="auto"/>
              <w:jc w:val="both"/>
              <w:rPr>
                <w:szCs w:val="24"/>
                <w:lang w:eastAsia="lt-LT"/>
              </w:rPr>
            </w:pPr>
            <w:r>
              <w:rPr>
                <w:szCs w:val="24"/>
                <w:lang w:eastAsia="lt-LT"/>
              </w:rPr>
              <w:t xml:space="preserve">8.6.4. </w:t>
            </w:r>
            <w:r>
              <w:rPr>
                <w:i/>
                <w:iCs/>
                <w:szCs w:val="24"/>
                <w:lang w:eastAsia="lt-LT"/>
              </w:rPr>
              <w:t>de minimis</w:t>
            </w:r>
            <w:r>
              <w:rPr>
                <w:szCs w:val="24"/>
                <w:lang w:eastAsia="lt-LT"/>
              </w:rPr>
              <w:t xml:space="preserve"> pagalba neteikiama:</w:t>
            </w:r>
          </w:p>
          <w:p w14:paraId="0029C78B" w14:textId="77777777" w:rsidR="00E55C1F" w:rsidRDefault="008E1F26">
            <w:pPr>
              <w:tabs>
                <w:tab w:val="left" w:pos="600"/>
                <w:tab w:val="left" w:pos="1140"/>
              </w:tabs>
              <w:spacing w:line="259" w:lineRule="auto"/>
              <w:jc w:val="both"/>
              <w:rPr>
                <w:szCs w:val="24"/>
                <w:lang w:eastAsia="lt-LT"/>
              </w:rPr>
            </w:pPr>
            <w:r>
              <w:rPr>
                <w:szCs w:val="24"/>
                <w:lang w:eastAsia="lt-LT"/>
              </w:rPr>
              <w:t>8.6.4.1. sunkumus patiriančioms įmonėms;</w:t>
            </w:r>
          </w:p>
          <w:p w14:paraId="5DD8CACE" w14:textId="77777777" w:rsidR="00E55C1F" w:rsidRDefault="008E1F26">
            <w:pPr>
              <w:tabs>
                <w:tab w:val="left" w:pos="600"/>
                <w:tab w:val="left" w:pos="1140"/>
              </w:tabs>
              <w:spacing w:line="259" w:lineRule="auto"/>
              <w:jc w:val="both"/>
              <w:rPr>
                <w:szCs w:val="24"/>
                <w:lang w:eastAsia="lt-LT"/>
              </w:rPr>
            </w:pPr>
            <w:r>
              <w:rPr>
                <w:szCs w:val="24"/>
                <w:lang w:eastAsia="lt-LT"/>
              </w:rPr>
              <w:t>8.6.4.2. 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60E91A3A" w14:textId="77777777" w:rsidR="00E55C1F" w:rsidRDefault="008E1F26">
            <w:pPr>
              <w:tabs>
                <w:tab w:val="left" w:pos="690"/>
                <w:tab w:val="left" w:pos="1140"/>
              </w:tabs>
              <w:jc w:val="both"/>
              <w:rPr>
                <w:szCs w:val="24"/>
                <w:lang w:eastAsia="lt-LT"/>
              </w:rPr>
            </w:pPr>
            <w:r>
              <w:t>8.7. K</w:t>
            </w:r>
            <w:r>
              <w:rPr>
                <w:szCs w:val="24"/>
                <w:lang w:eastAsia="lt-LT"/>
              </w:rPr>
              <w:t xml:space="preserve">onkurso rezultatų </w:t>
            </w:r>
            <w:r>
              <w:rPr>
                <w:i/>
                <w:iCs/>
                <w:szCs w:val="24"/>
                <w:lang w:eastAsia="lt-LT"/>
              </w:rPr>
              <w:t>ex post</w:t>
            </w:r>
            <w:r>
              <w:rPr>
                <w:szCs w:val="24"/>
                <w:lang w:eastAsia="lt-LT"/>
              </w:rPr>
              <w:t xml:space="preserve"> koregavimas (pvz., vėlesnės derybos dėl konkursinio pasiūlymo rezultatų) negalimas.</w:t>
            </w:r>
          </w:p>
          <w:p w14:paraId="699FFFAE" w14:textId="77777777" w:rsidR="00E55C1F" w:rsidRDefault="008E1F26">
            <w:pPr>
              <w:jc w:val="both"/>
            </w:pPr>
            <w:r>
              <w:t xml:space="preserve">8.8. Projektų valstybės pagalbos atitikties Reglamento (ES) Nr. 651/2014 nuostatoms ir, jeigu taikoma, </w:t>
            </w:r>
            <w:r>
              <w:rPr>
                <w:color w:val="000000"/>
                <w:szCs w:val="24"/>
              </w:rPr>
              <w:t xml:space="preserve">skiriamo finansavimo atitikties </w:t>
            </w:r>
            <w:r>
              <w:rPr>
                <w:i/>
                <w:iCs/>
                <w:color w:val="000000"/>
                <w:szCs w:val="24"/>
              </w:rPr>
              <w:t>de minimis</w:t>
            </w:r>
            <w:r>
              <w:rPr>
                <w:color w:val="000000"/>
                <w:szCs w:val="24"/>
              </w:rPr>
              <w:t xml:space="preserve"> pagalbos taisyklėms</w:t>
            </w:r>
            <w:r>
              <w:rPr>
                <w:szCs w:val="24"/>
                <w:lang w:eastAsia="lt-LT"/>
              </w:rPr>
              <w:t xml:space="preserve"> pagal R</w:t>
            </w:r>
            <w:r>
              <w:t xml:space="preserve">eglamentą (ES) </w:t>
            </w:r>
            <w:r>
              <w:rPr>
                <w:szCs w:val="24"/>
                <w:shd w:val="clear" w:color="auto" w:fill="FFFFFF"/>
              </w:rPr>
              <w:t>2023/2831</w:t>
            </w:r>
            <w:r>
              <w:rPr>
                <w:color w:val="000000"/>
                <w:szCs w:val="24"/>
              </w:rPr>
              <w:t xml:space="preserve"> </w:t>
            </w:r>
            <w:r>
              <w:t>vertinimą atlieka CPVA pagal Projektų atitikties valstybės pagalbos taisyklėms patikros lape (Aprašo 3 priedas) nurodytus vertinimo kriterijus ir, jeigu taikoma,</w:t>
            </w:r>
            <w:r>
              <w:rPr>
                <w:szCs w:val="24"/>
                <w:lang w:eastAsia="lt-LT"/>
              </w:rPr>
              <w:t xml:space="preserve"> </w:t>
            </w:r>
            <w:r>
              <w:t xml:space="preserve">pagal </w:t>
            </w:r>
            <w:r>
              <w:rPr>
                <w:iCs/>
                <w:szCs w:val="24"/>
              </w:rPr>
              <w:t xml:space="preserve">Projektų atitikties </w:t>
            </w:r>
            <w:r>
              <w:rPr>
                <w:i/>
                <w:szCs w:val="24"/>
              </w:rPr>
              <w:t>de minimis</w:t>
            </w:r>
            <w:r>
              <w:rPr>
                <w:iCs/>
                <w:szCs w:val="24"/>
              </w:rPr>
              <w:t xml:space="preserve"> pagalbos taisyklėms patikros lape, skelbiamame </w:t>
            </w:r>
            <w:r>
              <w:rPr>
                <w:szCs w:val="24"/>
              </w:rPr>
              <w:t>Europos Sąjungos investicijų interneto svetainėje esinvesticijos.lt</w:t>
            </w:r>
            <w:r>
              <w:rPr>
                <w:iCs/>
                <w:szCs w:val="24"/>
              </w:rPr>
              <w:t xml:space="preserve"> (</w:t>
            </w:r>
            <w:r>
              <w:t>https://www.esinvesticijos.lt/dokumentai/valstybes-pagalbos-ir-de-minimis-pagalbos-patikros-lapai),</w:t>
            </w:r>
            <w:r>
              <w:rPr>
                <w:iCs/>
                <w:szCs w:val="24"/>
              </w:rPr>
              <w:t xml:space="preserve"> nurodytus vertinimo kriterijus</w:t>
            </w:r>
            <w:r>
              <w:t>.</w:t>
            </w:r>
          </w:p>
          <w:p w14:paraId="3A20A388" w14:textId="77777777" w:rsidR="00E55C1F" w:rsidRDefault="008E1F26">
            <w:pPr>
              <w:tabs>
                <w:tab w:val="left" w:pos="600"/>
                <w:tab w:val="left" w:pos="1140"/>
              </w:tabs>
              <w:spacing w:line="259" w:lineRule="auto"/>
              <w:jc w:val="both"/>
              <w:rPr>
                <w:szCs w:val="24"/>
                <w:lang w:eastAsia="lt-LT"/>
              </w:rPr>
            </w:pPr>
            <w:r>
              <w:t xml:space="preserve">8.9. </w:t>
            </w:r>
            <w:r>
              <w:rPr>
                <w:szCs w:val="24"/>
                <w:lang w:eastAsia="lt-LT"/>
              </w:rPr>
              <w:t xml:space="preserve">PĮP vertinimo metu CPVA patikrina pareiškėjo teisę gauti valstybės pagalbą pagal </w:t>
            </w:r>
            <w:r>
              <w:t xml:space="preserve">Reglamentą (ES) Nr. 651/2014 ir, jeigu taikoma, </w:t>
            </w:r>
            <w:r>
              <w:rPr>
                <w:szCs w:val="24"/>
                <w:lang w:eastAsia="lt-LT"/>
              </w:rPr>
              <w:t xml:space="preserve">patikrina pareiškėjo teisę gauti </w:t>
            </w:r>
            <w:r>
              <w:rPr>
                <w:i/>
                <w:iCs/>
                <w:szCs w:val="24"/>
                <w:lang w:eastAsia="lt-LT"/>
              </w:rPr>
              <w:t>de minimis</w:t>
            </w:r>
            <w:r>
              <w:rPr>
                <w:szCs w:val="24"/>
                <w:lang w:eastAsia="lt-LT"/>
              </w:rPr>
              <w:t xml:space="preserve"> pagalbą pagal R</w:t>
            </w:r>
            <w:r>
              <w:t xml:space="preserve">eglamentą (ES) </w:t>
            </w:r>
            <w:r>
              <w:rPr>
                <w:szCs w:val="24"/>
                <w:shd w:val="clear" w:color="auto" w:fill="FFFFFF"/>
              </w:rPr>
              <w:t>2023/2831</w:t>
            </w:r>
            <w:r>
              <w:rPr>
                <w:szCs w:val="24"/>
                <w:lang w:eastAsia="lt-LT"/>
              </w:rPr>
              <w:t>. CPVA</w:t>
            </w:r>
            <w:r>
              <w:t xml:space="preserve"> </w:t>
            </w:r>
            <w:r>
              <w:rPr>
                <w:szCs w:val="24"/>
                <w:lang w:eastAsia="lt-LT"/>
              </w:rPr>
              <w:t xml:space="preserve">turi patikrinti visas su pareiškėju susijusias (nurodytas pateiktoje Vienos įmonės deklaracijoje) įmones dėl </w:t>
            </w:r>
            <w:r>
              <w:rPr>
                <w:i/>
                <w:iCs/>
                <w:szCs w:val="24"/>
                <w:lang w:eastAsia="lt-LT"/>
              </w:rPr>
              <w:t>de minimis</w:t>
            </w:r>
            <w:r>
              <w:rPr>
                <w:szCs w:val="24"/>
                <w:lang w:eastAsia="lt-LT"/>
              </w:rPr>
              <w:t xml:space="preserve"> pagalbos, taip pat Suteiktos valstybės pagalbos ir nereikšmingos (</w:t>
            </w:r>
            <w:r>
              <w:rPr>
                <w:i/>
                <w:iCs/>
                <w:szCs w:val="24"/>
                <w:lang w:eastAsia="lt-LT"/>
              </w:rPr>
              <w:t>de minimis</w:t>
            </w:r>
            <w:r>
              <w:rPr>
                <w:szCs w:val="24"/>
                <w:lang w:eastAsia="lt-LT"/>
              </w:rPr>
              <w:t>) pagalbos registre, kurio nuostatai patvirtinti Lietuvos Respublikos Vyriausybės 2005 m. sausio 19 d. nutarimu Nr. 35 „Dėl Suteiktos valstybės pagalbos ir nereikšmingos (</w:t>
            </w:r>
            <w:r>
              <w:rPr>
                <w:i/>
                <w:iCs/>
                <w:szCs w:val="24"/>
                <w:lang w:eastAsia="lt-LT"/>
              </w:rPr>
              <w:t>de minimis</w:t>
            </w:r>
            <w:r>
              <w:rPr>
                <w:szCs w:val="24"/>
                <w:lang w:eastAsia="lt-LT"/>
              </w:rPr>
              <w:t xml:space="preserve">) pagalbos registro nuostatų patvirtinimo“ (toliau – Registras), ar teikiama pagalba neviršys leidžiamo </w:t>
            </w:r>
            <w:r>
              <w:rPr>
                <w:i/>
                <w:iCs/>
                <w:szCs w:val="24"/>
                <w:lang w:eastAsia="lt-LT"/>
              </w:rPr>
              <w:t>de minimis</w:t>
            </w:r>
            <w:r>
              <w:rPr>
                <w:szCs w:val="24"/>
                <w:lang w:eastAsia="lt-LT"/>
              </w:rPr>
              <w:t xml:space="preserve"> pagalbos dydžio, kaip nustatyta R</w:t>
            </w:r>
            <w:r>
              <w:t xml:space="preserve">eglamento (ES) Nr. 1407/2013 </w:t>
            </w:r>
            <w:r>
              <w:rPr>
                <w:szCs w:val="24"/>
                <w:lang w:eastAsia="lt-LT"/>
              </w:rPr>
              <w:t>3 straipsnyje. Ministerija, priėmusi sprendimą finansuoti projektą, registruoja Registre suteiktos valstybės pagalbos sumą per 20 darbo dienų, o</w:t>
            </w:r>
            <w:r>
              <w:t xml:space="preserve"> duomenis apie suteiktą nereikšmingą pagalbą (</w:t>
            </w:r>
            <w:r>
              <w:rPr>
                <w:i/>
                <w:iCs/>
                <w:szCs w:val="24"/>
                <w:lang w:eastAsia="lt-LT"/>
              </w:rPr>
              <w:t>de minimis)</w:t>
            </w:r>
            <w:r>
              <w:t xml:space="preserve"> – per 5 darbo dienas nuo priimto sprendimo ją suteikti įsigaliojimo dienos</w:t>
            </w:r>
            <w:r>
              <w:rPr>
                <w:szCs w:val="24"/>
                <w:lang w:eastAsia="lt-LT"/>
              </w:rPr>
              <w:t>.</w:t>
            </w:r>
          </w:p>
          <w:p w14:paraId="112E72C6" w14:textId="77777777" w:rsidR="00E55C1F" w:rsidRDefault="008E1F26">
            <w:pPr>
              <w:tabs>
                <w:tab w:val="left" w:pos="600"/>
                <w:tab w:val="left" w:pos="1140"/>
              </w:tabs>
              <w:spacing w:line="259" w:lineRule="auto"/>
              <w:jc w:val="both"/>
              <w:rPr>
                <w:szCs w:val="24"/>
                <w:lang w:eastAsia="lt-LT"/>
              </w:rPr>
            </w:pPr>
            <w:r>
              <w:rPr>
                <w:szCs w:val="24"/>
                <w:lang w:eastAsia="lt-LT"/>
              </w:rPr>
              <w:lastRenderedPageBreak/>
              <w:t xml:space="preserve">8.10. Ministerija, vadovaudamasi </w:t>
            </w:r>
            <w:r>
              <w:t>Reglamento (ES) Nr. 651/2014</w:t>
            </w:r>
            <w:r>
              <w:rPr>
                <w:szCs w:val="24"/>
                <w:lang w:eastAsia="lt-LT"/>
              </w:rPr>
              <w:t xml:space="preserve"> 9 straipsnio 1 dalies c punkto nuostatomis, informaciją apie suteiktą valstybės pagalbą turi paskelbti Europos Komisijos valstybės pagalbos skaidrumo viešos paieškos svetainėje (https://webgate.ec.europa.eu/competition/transparency/) ne vėliau kaip per 6 mėnesius nuo pagalbos suteikimo dienos, vadovaudamasi CPVA pateikta informacija.</w:t>
            </w:r>
          </w:p>
          <w:p w14:paraId="3DF5CBA7" w14:textId="77777777" w:rsidR="00E55C1F" w:rsidRDefault="008E1F26">
            <w:pPr>
              <w:jc w:val="both"/>
            </w:pPr>
            <w:r>
              <w:rPr>
                <w:szCs w:val="24"/>
              </w:rPr>
              <w:t>8.11. P</w:t>
            </w:r>
            <w:r>
              <w:t xml:space="preserve">rojekto vykdytojas turi užtikrinti dokumentų saugojimą 10 metų nuo datos, kada paskutinį kartą pagal schemą buvo suteikta individuali pagalba, kaip nustatyta Reglamento (ES) Nr. 651/2014 12 straipsnio 1 dalyje ir, jeigu taikoma, visų dokumentų apie suteiktą </w:t>
            </w:r>
            <w:r>
              <w:rPr>
                <w:i/>
                <w:iCs/>
              </w:rPr>
              <w:t>de minimis</w:t>
            </w:r>
            <w:r>
              <w:t xml:space="preserve"> pagalbą saugojimą 10 metų nuo datos, kada paskutinį kartą pagal tokią schemą buvo suteikta individuali pagalba, kaip nustatyta </w:t>
            </w:r>
            <w:r>
              <w:rPr>
                <w:szCs w:val="24"/>
                <w:lang w:eastAsia="lt-LT"/>
              </w:rPr>
              <w:t>R</w:t>
            </w:r>
            <w:r>
              <w:t xml:space="preserve">eglamento (ES) </w:t>
            </w:r>
            <w:r>
              <w:rPr>
                <w:szCs w:val="24"/>
                <w:shd w:val="clear" w:color="auto" w:fill="FFFFFF"/>
              </w:rPr>
              <w:t>2023/2831</w:t>
            </w:r>
            <w:r>
              <w:t xml:space="preserve"> </w:t>
            </w:r>
            <w:r>
              <w:rPr>
                <w:shd w:val="clear" w:color="auto" w:fill="FFFFFF"/>
              </w:rPr>
              <w:t>6 straipsnio 3 punkte</w:t>
            </w:r>
            <w:r>
              <w:t>.</w:t>
            </w:r>
          </w:p>
          <w:p w14:paraId="1992A893" w14:textId="77777777" w:rsidR="00E55C1F" w:rsidRDefault="008E1F26">
            <w:pPr>
              <w:jc w:val="both"/>
              <w:rPr>
                <w:i/>
                <w:iCs/>
                <w:sz w:val="22"/>
                <w:szCs w:val="22"/>
              </w:rPr>
            </w:pPr>
            <w:r>
              <w:t>8.12.</w:t>
            </w:r>
            <w:r>
              <w:rPr>
                <w:lang w:eastAsia="lt-LT"/>
              </w:rPr>
              <w:t xml:space="preserve"> Paaiškėjus, kad pagal Aprašą buvo suteikta neteisėta ir / 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tc>
      </w:tr>
      <w:tr w:rsidR="00E55C1F" w14:paraId="01DFD1AE" w14:textId="77777777">
        <w:tc>
          <w:tcPr>
            <w:tcW w:w="15134" w:type="dxa"/>
          </w:tcPr>
          <w:p w14:paraId="54FCD0B7" w14:textId="77777777" w:rsidR="00E55C1F" w:rsidRDefault="008E1F26">
            <w:pPr>
              <w:ind w:left="426" w:hanging="426"/>
              <w:jc w:val="both"/>
              <w:rPr>
                <w:i/>
                <w:szCs w:val="24"/>
              </w:rPr>
            </w:pPr>
            <w:r>
              <w:rPr>
                <w:b/>
                <w:szCs w:val="24"/>
              </w:rPr>
              <w:lastRenderedPageBreak/>
              <w:t>9.</w:t>
            </w:r>
            <w:r>
              <w:rPr>
                <w:szCs w:val="24"/>
              </w:rPr>
              <w:t xml:space="preserve"> </w:t>
            </w:r>
            <w:r>
              <w:rPr>
                <w:b/>
                <w:szCs w:val="24"/>
              </w:rPr>
              <w:t>Projektų atrankos kriterijai</w:t>
            </w:r>
          </w:p>
        </w:tc>
      </w:tr>
      <w:tr w:rsidR="00E55C1F" w14:paraId="0113A191" w14:textId="77777777">
        <w:trPr>
          <w:trHeight w:val="704"/>
        </w:trPr>
        <w:tc>
          <w:tcPr>
            <w:tcW w:w="15134" w:type="dxa"/>
          </w:tcPr>
          <w:p w14:paraId="027BA17C" w14:textId="77777777" w:rsidR="00E55C1F" w:rsidRDefault="008E1F26">
            <w:pPr>
              <w:tabs>
                <w:tab w:val="left" w:pos="420"/>
              </w:tabs>
              <w:jc w:val="both"/>
              <w:rPr>
                <w:iCs/>
                <w:szCs w:val="24"/>
              </w:rPr>
            </w:pPr>
            <w:r>
              <w:rPr>
                <w:szCs w:val="24"/>
              </w:rPr>
              <w:t>9.1. Specialieji ir prioritetiniai projektų atrankos kriterijai ir jų vertinimo metodika:</w:t>
            </w:r>
          </w:p>
          <w:tbl>
            <w:tblPr>
              <w:tblW w:w="14898" w:type="dxa"/>
              <w:tblLayout w:type="fixed"/>
              <w:tblLook w:val="00A0" w:firstRow="1" w:lastRow="0" w:firstColumn="1" w:lastColumn="0" w:noHBand="0" w:noVBand="0"/>
            </w:tblPr>
            <w:tblGrid>
              <w:gridCol w:w="591"/>
              <w:gridCol w:w="1408"/>
              <w:gridCol w:w="1984"/>
              <w:gridCol w:w="5103"/>
              <w:gridCol w:w="1559"/>
              <w:gridCol w:w="1560"/>
              <w:gridCol w:w="2693"/>
            </w:tblGrid>
            <w:tr w:rsidR="00E55C1F" w14:paraId="4EB2BD83" w14:textId="77777777">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BEEB809" w14:textId="77777777" w:rsidR="00E55C1F" w:rsidRDefault="008E1F26">
                  <w:pPr>
                    <w:jc w:val="center"/>
                    <w:rPr>
                      <w:b/>
                      <w:bCs/>
                      <w:szCs w:val="24"/>
                    </w:rPr>
                  </w:pPr>
                  <w:r>
                    <w:rPr>
                      <w:b/>
                      <w:bCs/>
                      <w:szCs w:val="24"/>
                    </w:rPr>
                    <w:t>Eil.</w:t>
                  </w:r>
                </w:p>
                <w:p w14:paraId="701725A0" w14:textId="77777777" w:rsidR="00E55C1F" w:rsidRDefault="008E1F26">
                  <w:pPr>
                    <w:jc w:val="center"/>
                    <w:rPr>
                      <w:b/>
                      <w:bCs/>
                      <w:szCs w:val="24"/>
                    </w:rPr>
                  </w:pPr>
                  <w:r>
                    <w:rPr>
                      <w:b/>
                      <w:bCs/>
                      <w:szCs w:val="24"/>
                    </w:rPr>
                    <w:t>Nr.</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30B670E" w14:textId="77777777" w:rsidR="00E55C1F" w:rsidRDefault="008E1F26">
                  <w:pPr>
                    <w:jc w:val="center"/>
                    <w:rPr>
                      <w:b/>
                      <w:bCs/>
                      <w:szCs w:val="24"/>
                    </w:rPr>
                  </w:pPr>
                  <w:r>
                    <w:rPr>
                      <w:b/>
                      <w:bCs/>
                      <w:szCs w:val="24"/>
                    </w:rPr>
                    <w:t>Kriterijaus tipas</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77D6EB6" w14:textId="77777777" w:rsidR="00E55C1F" w:rsidRDefault="008E1F26">
                  <w:pPr>
                    <w:jc w:val="center"/>
                    <w:rPr>
                      <w:b/>
                      <w:bCs/>
                    </w:rPr>
                  </w:pPr>
                  <w:r>
                    <w:rPr>
                      <w:b/>
                      <w:bCs/>
                    </w:rPr>
                    <w:t>Kriterijus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20D01CE" w14:textId="77777777" w:rsidR="00E55C1F" w:rsidRDefault="008E1F26">
                  <w:pPr>
                    <w:jc w:val="center"/>
                    <w:rPr>
                      <w:b/>
                      <w:bCs/>
                      <w:szCs w:val="24"/>
                    </w:rPr>
                  </w:pPr>
                  <w:r>
                    <w:rPr>
                      <w:b/>
                      <w:bCs/>
                      <w:szCs w:val="24"/>
                    </w:rPr>
                    <w:t>Kriterijaus vertinimo metodas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80AEC78" w14:textId="77777777" w:rsidR="00E55C1F" w:rsidRDefault="008E1F26">
                  <w:pPr>
                    <w:jc w:val="center"/>
                    <w:rPr>
                      <w:b/>
                      <w:bCs/>
                      <w:szCs w:val="24"/>
                    </w:rPr>
                  </w:pPr>
                  <w:r>
                    <w:rPr>
                      <w:b/>
                      <w:bCs/>
                      <w:szCs w:val="24"/>
                    </w:rPr>
                    <w:t>Didžiausias galimas kriterijaus balas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61E66A5" w14:textId="77777777" w:rsidR="00E55C1F" w:rsidRDefault="008E1F26">
                  <w:pPr>
                    <w:jc w:val="center"/>
                    <w:rPr>
                      <w:b/>
                      <w:bCs/>
                      <w:szCs w:val="24"/>
                    </w:rPr>
                  </w:pPr>
                  <w:r>
                    <w:rPr>
                      <w:b/>
                      <w:bCs/>
                      <w:szCs w:val="24"/>
                    </w:rPr>
                    <w:t>Kriterijaus svorio koeficientas</w:t>
                  </w:r>
                </w:p>
                <w:p w14:paraId="0754CAD8" w14:textId="77777777" w:rsidR="00E55C1F" w:rsidRDefault="00E55C1F">
                  <w:pPr>
                    <w:rPr>
                      <w:b/>
                      <w:bCs/>
                      <w:szCs w:val="24"/>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5AF68088" w14:textId="77777777" w:rsidR="00E55C1F" w:rsidRDefault="008E1F26">
                  <w:pPr>
                    <w:jc w:val="center"/>
                    <w:rPr>
                      <w:bCs/>
                      <w:sz w:val="22"/>
                      <w:szCs w:val="22"/>
                    </w:rPr>
                  </w:pPr>
                  <w:r>
                    <w:rPr>
                      <w:b/>
                      <w:bCs/>
                      <w:sz w:val="22"/>
                      <w:szCs w:val="22"/>
                    </w:rPr>
                    <w:t>Didžiausias galimas kriterijaus balas, kai nustatomas svorio koeficientas</w:t>
                  </w:r>
                </w:p>
                <w:p w14:paraId="3DADC6DC" w14:textId="77777777" w:rsidR="00E55C1F" w:rsidRDefault="00E55C1F">
                  <w:pPr>
                    <w:jc w:val="center"/>
                    <w:rPr>
                      <w:b/>
                      <w:bCs/>
                      <w:szCs w:val="24"/>
                    </w:rPr>
                  </w:pPr>
                </w:p>
              </w:tc>
            </w:tr>
            <w:tr w:rsidR="00E55C1F" w14:paraId="2B29F821" w14:textId="77777777">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D3164" w14:textId="77777777" w:rsidR="00E55C1F" w:rsidRDefault="008E1F26">
                  <w:pPr>
                    <w:jc w:val="both"/>
                    <w:rPr>
                      <w:szCs w:val="24"/>
                    </w:rPr>
                  </w:pPr>
                  <w:r>
                    <w:rPr>
                      <w:szCs w:val="24"/>
                    </w:rPr>
                    <w:t>1.</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CAB43" w14:textId="77777777" w:rsidR="00E55C1F" w:rsidRDefault="008E1F26">
                  <w:pPr>
                    <w:jc w:val="both"/>
                    <w:rPr>
                      <w:szCs w:val="24"/>
                    </w:rPr>
                  </w:pPr>
                  <w:r>
                    <w:rPr>
                      <w:szCs w:val="24"/>
                    </w:rPr>
                    <w:t>Specialusis</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42EC53" w14:textId="77777777" w:rsidR="00E55C1F" w:rsidRDefault="008E1F26">
                  <w:pPr>
                    <w:jc w:val="both"/>
                    <w:rPr>
                      <w:szCs w:val="24"/>
                    </w:rPr>
                  </w:pPr>
                  <w:r>
                    <w:rPr>
                      <w:szCs w:val="24"/>
                    </w:rPr>
                    <w:t>Pareiškėjas yra sudaręs viešųjų paslaugų teikimo sutartį (-is), pagal kurią (-ias) vykdoma keleivių vežimo veikla</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114D4" w14:textId="77777777" w:rsidR="00E55C1F" w:rsidRDefault="008E1F26">
                  <w:pPr>
                    <w:jc w:val="both"/>
                    <w:rPr>
                      <w:szCs w:val="24"/>
                    </w:rPr>
                  </w:pPr>
                  <w:r>
                    <w:rPr>
                      <w:rFonts w:eastAsia="Calibri"/>
                      <w:szCs w:val="24"/>
                    </w:rPr>
                    <w:t xml:space="preserve">Vertinama, ar pareiškėjas yra sudaręs viešųjų paslaugų teikimo sutartį (-is) </w:t>
                  </w:r>
                  <w:r>
                    <w:rPr>
                      <w:szCs w:val="24"/>
                      <w:lang w:eastAsia="lt-LT"/>
                    </w:rPr>
                    <w:t xml:space="preserve">vykdyti keleivių vežimo veiklą savivaldybių, </w:t>
                  </w:r>
                  <w:r>
                    <w:rPr>
                      <w:szCs w:val="24"/>
                    </w:rPr>
                    <w:t>kurios 2014–2020 m. Europos Sąjungos investicijų veiksmų programos lėšomis nerengė ir neįgyvendino darnaus judumo mieste planų: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bei Elektrėnų, Kalvarijos, Kazlų Rūdos, Pagėgių ir Rietavo, teritorijose.</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38D956" w14:textId="77777777" w:rsidR="00E55C1F" w:rsidRDefault="008E1F26">
                  <w:pPr>
                    <w:jc w:val="center"/>
                  </w:pPr>
                  <w: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6ADA8" w14:textId="77777777" w:rsidR="00E55C1F" w:rsidRDefault="008E1F26">
                  <w:pPr>
                    <w:jc w:val="center"/>
                  </w:pPr>
                  <w: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70D1B5" w14:textId="77777777" w:rsidR="00E55C1F" w:rsidRDefault="008E1F26">
                  <w:pPr>
                    <w:jc w:val="center"/>
                  </w:pPr>
                  <w:r>
                    <w:t>-</w:t>
                  </w:r>
                </w:p>
              </w:tc>
            </w:tr>
            <w:tr w:rsidR="00E55C1F" w14:paraId="5E3E29F5" w14:textId="77777777">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0C8A2" w14:textId="77777777" w:rsidR="00E55C1F" w:rsidRDefault="008E1F26">
                  <w:pPr>
                    <w:jc w:val="both"/>
                    <w:rPr>
                      <w:szCs w:val="24"/>
                    </w:rPr>
                  </w:pPr>
                  <w:r>
                    <w:rPr>
                      <w:szCs w:val="24"/>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D9CA1" w14:textId="77777777" w:rsidR="00E55C1F" w:rsidRDefault="008E1F26">
                  <w:pPr>
                    <w:jc w:val="both"/>
                    <w:rPr>
                      <w:szCs w:val="24"/>
                    </w:rPr>
                  </w:pPr>
                  <w:r>
                    <w:rPr>
                      <w:szCs w:val="24"/>
                    </w:rPr>
                    <w:t>Prioritetinis</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ECC05" w14:textId="77777777" w:rsidR="00E55C1F" w:rsidRDefault="008E1F26">
                  <w:pPr>
                    <w:jc w:val="both"/>
                  </w:pPr>
                  <w:r>
                    <w:rPr>
                      <w:bCs/>
                      <w:iCs/>
                      <w:szCs w:val="24"/>
                      <w:lang w:eastAsia="lt-LT"/>
                    </w:rPr>
                    <w:t>B</w:t>
                  </w:r>
                  <w:r>
                    <w:rPr>
                      <w:color w:val="000000"/>
                      <w:szCs w:val="24"/>
                      <w:shd w:val="clear" w:color="auto" w:fill="FFFFFF"/>
                      <w:lang w:eastAsia="lt-LT"/>
                    </w:rPr>
                    <w:t xml:space="preserve">endras išmetamų šiltnamio efektą sukeliančių dujų </w:t>
                  </w:r>
                  <w:r>
                    <w:rPr>
                      <w:color w:val="000000"/>
                      <w:szCs w:val="24"/>
                      <w:shd w:val="clear" w:color="auto" w:fill="FFFFFF"/>
                      <w:lang w:eastAsia="lt-LT"/>
                    </w:rPr>
                    <w:lastRenderedPageBreak/>
                    <w:t>(ŠESD) kiekio sumažinimas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5954A" w14:textId="77777777" w:rsidR="00E55C1F" w:rsidRDefault="008E1F26">
                  <w:pPr>
                    <w:widowControl w:val="0"/>
                    <w:jc w:val="both"/>
                    <w:textAlignment w:val="baseline"/>
                    <w:rPr>
                      <w:color w:val="000000"/>
                      <w:szCs w:val="24"/>
                    </w:rPr>
                  </w:pPr>
                  <w:r>
                    <w:rPr>
                      <w:szCs w:val="24"/>
                      <w:lang w:eastAsia="lt-LT"/>
                    </w:rPr>
                    <w:lastRenderedPageBreak/>
                    <w:t xml:space="preserve">Bendras išmetamų ŠESD kiekio sumažinimas per projekto vertinamąjį laikotarpį (5 metus) apskaičiuojamas lyginant iškastiniu kuru (dyzelinu) varomų viešojo transporto priemonių </w:t>
                  </w:r>
                  <w:r>
                    <w:rPr>
                      <w:szCs w:val="24"/>
                      <w:lang w:eastAsia="lt-LT"/>
                    </w:rPr>
                    <w:lastRenderedPageBreak/>
                    <w:t>(bazinis scenarijus) išmetamų ŠESD kiekį su analogiškų techninių parametrų elektra ir (arba) vandeniliu varomų viešojo transporto priemonių išmetamų ŠESD kiekiu (projektinis scenarijus). I</w:t>
                  </w:r>
                  <w:r>
                    <w:rPr>
                      <w:color w:val="000000"/>
                      <w:szCs w:val="24"/>
                    </w:rPr>
                    <w:t>šmetamų ŠESD kiekio sumažinimas yra išmetamų ŠESD kiekio pagal bazinį scenarijų ir pagal projektinį scenarijų skirtumas. Išmetamų ŠESD kiekis ir bazinio scenarijaus, ir projektinio scenarijaus atveju apskaičiuojamas pagal formulę:</w:t>
                  </w:r>
                </w:p>
                <w:p w14:paraId="194CF793" w14:textId="77777777" w:rsidR="00E55C1F" w:rsidRDefault="008E1F26">
                  <w:pPr>
                    <w:widowControl w:val="0"/>
                    <w:jc w:val="both"/>
                    <w:textAlignment w:val="baseline"/>
                    <w:rPr>
                      <w:color w:val="000000"/>
                      <w:szCs w:val="24"/>
                    </w:rPr>
                  </w:pPr>
                  <w:r>
                    <w:rPr>
                      <w:color w:val="000000"/>
                      <w:szCs w:val="24"/>
                    </w:rPr>
                    <w:t>Išmetamų ŠESD kiekis (CO2ekv. t/metus) = degalų sąnaudos (MWh/metus) x taršos faktorius (tCO2/MWh).</w:t>
                  </w:r>
                </w:p>
                <w:p w14:paraId="38C28504" w14:textId="77777777" w:rsidR="00E55C1F" w:rsidRDefault="008E1F26">
                  <w:pPr>
                    <w:widowControl w:val="0"/>
                    <w:jc w:val="both"/>
                    <w:textAlignment w:val="baseline"/>
                    <w:rPr>
                      <w:color w:val="000000"/>
                      <w:szCs w:val="24"/>
                    </w:rPr>
                  </w:pPr>
                  <w:r>
                    <w:rPr>
                      <w:color w:val="000000"/>
                      <w:szCs w:val="24"/>
                    </w:rPr>
                    <w:t>Degalų sąnaudos apskaičiuojamos kaip viešojo transporto priemonės (-ių) ridos per metus (km), viešojo transporto priemonei (-ėms) nustatytos degalų normos (l/100 km) ir d</w:t>
                  </w:r>
                  <w:r>
                    <w:rPr>
                      <w:szCs w:val="24"/>
                    </w:rPr>
                    <w:t xml:space="preserve">yzelinių degalų sąnaudų perskaičiavimo į MWH koeficiento 10,01 MWh/1000 l </w:t>
                  </w:r>
                  <w:r>
                    <w:rPr>
                      <w:color w:val="000000"/>
                      <w:szCs w:val="24"/>
                    </w:rPr>
                    <w:t>sandauga.</w:t>
                  </w:r>
                </w:p>
                <w:p w14:paraId="1975B04A" w14:textId="77777777" w:rsidR="00E55C1F" w:rsidRDefault="008E1F26">
                  <w:pPr>
                    <w:widowControl w:val="0"/>
                    <w:jc w:val="both"/>
                    <w:textAlignment w:val="baseline"/>
                    <w:rPr>
                      <w:color w:val="000000"/>
                      <w:szCs w:val="24"/>
                    </w:rPr>
                  </w:pPr>
                  <w:r>
                    <w:rPr>
                      <w:color w:val="000000"/>
                      <w:szCs w:val="24"/>
                    </w:rPr>
                    <w:t>Taršos faktorius:</w:t>
                  </w:r>
                </w:p>
                <w:p w14:paraId="52F8C572" w14:textId="77777777" w:rsidR="00E55C1F" w:rsidRDefault="008E1F26">
                  <w:pPr>
                    <w:widowControl w:val="0"/>
                    <w:ind w:left="720" w:hanging="360"/>
                    <w:jc w:val="both"/>
                    <w:textAlignment w:val="baseline"/>
                    <w:rPr>
                      <w:color w:val="000000"/>
                      <w:szCs w:val="24"/>
                    </w:rPr>
                  </w:pPr>
                  <w:r>
                    <w:rPr>
                      <w:color w:val="000000"/>
                      <w:szCs w:val="24"/>
                    </w:rPr>
                    <w:t>-</w:t>
                  </w:r>
                  <w:r>
                    <w:rPr>
                      <w:color w:val="000000"/>
                      <w:szCs w:val="24"/>
                    </w:rPr>
                    <w:tab/>
                    <w:t>dyzelinui 0,29;</w:t>
                  </w:r>
                </w:p>
                <w:p w14:paraId="2CBB99F4" w14:textId="77777777" w:rsidR="00E55C1F" w:rsidRDefault="008E1F26">
                  <w:pPr>
                    <w:widowControl w:val="0"/>
                    <w:ind w:left="720" w:hanging="360"/>
                    <w:jc w:val="both"/>
                    <w:textAlignment w:val="baseline"/>
                    <w:rPr>
                      <w:color w:val="000000"/>
                      <w:szCs w:val="24"/>
                    </w:rPr>
                  </w:pPr>
                  <w:r>
                    <w:rPr>
                      <w:color w:val="000000"/>
                      <w:szCs w:val="24"/>
                    </w:rPr>
                    <w:t>-</w:t>
                  </w:r>
                  <w:r>
                    <w:rPr>
                      <w:color w:val="000000"/>
                      <w:szCs w:val="24"/>
                    </w:rPr>
                    <w:tab/>
                  </w:r>
                  <w:r>
                    <w:rPr>
                      <w:szCs w:val="24"/>
                    </w:rPr>
                    <w:t>elektros energijai iš atsinaujinančių energijos išteklių 0,00;</w:t>
                  </w:r>
                </w:p>
                <w:p w14:paraId="340E02ED" w14:textId="77777777" w:rsidR="00E55C1F" w:rsidRDefault="008E1F26">
                  <w:pPr>
                    <w:widowControl w:val="0"/>
                    <w:ind w:left="720" w:hanging="360"/>
                    <w:jc w:val="both"/>
                    <w:textAlignment w:val="baseline"/>
                    <w:rPr>
                      <w:color w:val="000000"/>
                      <w:szCs w:val="24"/>
                    </w:rPr>
                  </w:pPr>
                  <w:r>
                    <w:rPr>
                      <w:color w:val="000000"/>
                      <w:szCs w:val="24"/>
                    </w:rPr>
                    <w:t>-</w:t>
                  </w:r>
                  <w:r>
                    <w:rPr>
                      <w:color w:val="000000"/>
                      <w:szCs w:val="24"/>
                    </w:rPr>
                    <w:tab/>
                  </w:r>
                  <w:r>
                    <w:rPr>
                      <w:szCs w:val="24"/>
                    </w:rPr>
                    <w:t>elektros energijai iš tinklo</w:t>
                  </w:r>
                  <w:r>
                    <w:rPr>
                      <w:color w:val="000000"/>
                      <w:szCs w:val="24"/>
                    </w:rPr>
                    <w:t xml:space="preserve"> 0,42;</w:t>
                  </w:r>
                </w:p>
                <w:p w14:paraId="18931D69" w14:textId="77777777" w:rsidR="00E55C1F" w:rsidRDefault="008E1F26">
                  <w:pPr>
                    <w:widowControl w:val="0"/>
                    <w:ind w:left="720" w:hanging="360"/>
                    <w:jc w:val="both"/>
                    <w:textAlignment w:val="baseline"/>
                    <w:rPr>
                      <w:color w:val="000000"/>
                      <w:szCs w:val="24"/>
                    </w:rPr>
                  </w:pPr>
                  <w:r>
                    <w:rPr>
                      <w:color w:val="000000"/>
                      <w:szCs w:val="24"/>
                    </w:rPr>
                    <w:t>-</w:t>
                  </w:r>
                  <w:r>
                    <w:rPr>
                      <w:color w:val="000000"/>
                      <w:szCs w:val="24"/>
                    </w:rPr>
                    <w:tab/>
                  </w:r>
                  <w:r>
                    <w:rPr>
                      <w:szCs w:val="24"/>
                    </w:rPr>
                    <w:t>vandeniliui iš atsinaujinančių energijos išteklių 0,00;</w:t>
                  </w:r>
                </w:p>
                <w:p w14:paraId="5EDBFA6B" w14:textId="77777777" w:rsidR="00E55C1F" w:rsidRDefault="008E1F26">
                  <w:pPr>
                    <w:widowControl w:val="0"/>
                    <w:ind w:left="720" w:hanging="360"/>
                    <w:jc w:val="both"/>
                    <w:textAlignment w:val="baseline"/>
                    <w:rPr>
                      <w:color w:val="000000"/>
                      <w:szCs w:val="24"/>
                    </w:rPr>
                  </w:pPr>
                  <w:r>
                    <w:rPr>
                      <w:color w:val="000000"/>
                      <w:szCs w:val="24"/>
                    </w:rPr>
                    <w:t>-</w:t>
                  </w:r>
                  <w:r>
                    <w:rPr>
                      <w:color w:val="000000"/>
                      <w:szCs w:val="24"/>
                    </w:rPr>
                    <w:tab/>
                    <w:t>vandeniliui iš kitų išteklių 0,42.</w:t>
                  </w:r>
                </w:p>
                <w:p w14:paraId="3822BA55" w14:textId="77777777" w:rsidR="00E55C1F" w:rsidRDefault="008E1F26">
                  <w:pPr>
                    <w:jc w:val="both"/>
                    <w:rPr>
                      <w:szCs w:val="24"/>
                    </w:rPr>
                  </w:pPr>
                  <w:r>
                    <w:rPr>
                      <w:szCs w:val="24"/>
                      <w:shd w:val="clear" w:color="auto" w:fill="FFFFFF"/>
                      <w:lang w:eastAsia="lt-LT"/>
                    </w:rPr>
                    <w:t>Balai projektams suteikiami pagal bendro išmetamo ŠESD kiekio sumažinimo per projekto vertinamąjį laikotarpį dydį. Projekto balai (B) apskaičiuojami jo bendro išmetamų ŠESD kiekio sumažinimo (D) ir didžiausio konkursui pateikto projekto bendro išmetamų ŠESD kiekio sumažinimo (D</w:t>
                  </w:r>
                  <w:r>
                    <w:rPr>
                      <w:szCs w:val="24"/>
                      <w:shd w:val="clear" w:color="auto" w:fill="FFFFFF"/>
                      <w:vertAlign w:val="subscript"/>
                      <w:lang w:eastAsia="lt-LT"/>
                    </w:rPr>
                    <w:t>max</w:t>
                  </w:r>
                  <w:r>
                    <w:rPr>
                      <w:szCs w:val="24"/>
                      <w:shd w:val="clear" w:color="auto" w:fill="FFFFFF"/>
                      <w:lang w:eastAsia="lt-LT"/>
                    </w:rPr>
                    <w:t>) santykį padauginant iš kriterijaus lyginamojo svorio (80): B = (D /D</w:t>
                  </w:r>
                  <w:r>
                    <w:rPr>
                      <w:szCs w:val="24"/>
                      <w:shd w:val="clear" w:color="auto" w:fill="FFFFFF"/>
                      <w:vertAlign w:val="subscript"/>
                      <w:lang w:eastAsia="lt-LT"/>
                    </w:rPr>
                    <w:t>max</w:t>
                  </w:r>
                  <w:r>
                    <w:rPr>
                      <w:szCs w:val="24"/>
                      <w:shd w:val="clear" w:color="auto" w:fill="FFFFFF"/>
                      <w:lang w:eastAsia="lt-LT"/>
                    </w:rPr>
                    <w:t>) x 80.</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31217" w14:textId="77777777" w:rsidR="00E55C1F" w:rsidRDefault="008E1F26">
                  <w:pPr>
                    <w:jc w:val="center"/>
                    <w:rPr>
                      <w:szCs w:val="24"/>
                    </w:rPr>
                  </w:pPr>
                  <w:r>
                    <w:rPr>
                      <w:szCs w:val="24"/>
                    </w:rPr>
                    <w:lastRenderedPageBreak/>
                    <w:t>80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9D393" w14:textId="77777777" w:rsidR="00E55C1F" w:rsidRDefault="008E1F26">
                  <w:pPr>
                    <w:jc w:val="center"/>
                    <w:rPr>
                      <w:szCs w:val="24"/>
                    </w:rPr>
                  </w:pPr>
                  <w:r>
                    <w:rPr>
                      <w:szCs w:val="24"/>
                    </w:rPr>
                    <w:t>80</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6725C" w14:textId="77777777" w:rsidR="00E55C1F" w:rsidRDefault="008E1F26">
                  <w:pPr>
                    <w:jc w:val="center"/>
                    <w:rPr>
                      <w:szCs w:val="24"/>
                    </w:rPr>
                  </w:pPr>
                  <w:r>
                    <w:rPr>
                      <w:szCs w:val="24"/>
                    </w:rPr>
                    <w:t>80</w:t>
                  </w:r>
                </w:p>
              </w:tc>
            </w:tr>
            <w:tr w:rsidR="00E55C1F" w14:paraId="50A7C9FA" w14:textId="77777777">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C83A2" w14:textId="77777777" w:rsidR="00E55C1F" w:rsidRDefault="008E1F26">
                  <w:pPr>
                    <w:jc w:val="both"/>
                    <w:rPr>
                      <w:szCs w:val="24"/>
                    </w:rPr>
                  </w:pPr>
                  <w:r>
                    <w:rPr>
                      <w:szCs w:val="24"/>
                    </w:rPr>
                    <w:lastRenderedPageBreak/>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29958" w14:textId="77777777" w:rsidR="00E55C1F" w:rsidRDefault="008E1F26">
                  <w:pPr>
                    <w:jc w:val="both"/>
                    <w:rPr>
                      <w:szCs w:val="24"/>
                    </w:rPr>
                  </w:pPr>
                  <w:r>
                    <w:rPr>
                      <w:szCs w:val="24"/>
                    </w:rPr>
                    <w:t>Prioritetinis</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B1A75A" w14:textId="77777777" w:rsidR="00E55C1F" w:rsidRDefault="008E1F26">
                  <w:pPr>
                    <w:jc w:val="both"/>
                  </w:pPr>
                  <w:r>
                    <w:rPr>
                      <w:bCs/>
                      <w:iCs/>
                      <w:szCs w:val="24"/>
                      <w:lang w:eastAsia="lt-LT"/>
                    </w:rPr>
                    <w:t>Įsigyjamų elektra varomų ir (arba) vandeniliu pildomų viešojo transporto priemonių (autobusų) skaičius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DEE22" w14:textId="77777777" w:rsidR="00E55C1F" w:rsidRDefault="008E1F26">
                  <w:pPr>
                    <w:jc w:val="both"/>
                    <w:rPr>
                      <w:szCs w:val="24"/>
                    </w:rPr>
                  </w:pPr>
                  <w:r>
                    <w:rPr>
                      <w:szCs w:val="24"/>
                    </w:rPr>
                    <w:t xml:space="preserve">Balai suteikiami projektams už įgyvendinimo metu planuojamų įsigyti </w:t>
                  </w:r>
                  <w:r>
                    <w:rPr>
                      <w:bCs/>
                      <w:iCs/>
                      <w:szCs w:val="24"/>
                      <w:lang w:eastAsia="lt-LT"/>
                    </w:rPr>
                    <w:t>elektra varomų ir (arba) vandeniliu pildomų</w:t>
                  </w:r>
                  <w:r>
                    <w:rPr>
                      <w:szCs w:val="24"/>
                    </w:rPr>
                    <w:t xml:space="preserve"> transporto priemonių skaičių. Projekto balai (T) apskaičiuojami planuojamų įsigyti transporto priemonių skaičių (S) ir didžiausio konkursui pateikto planuojamų įsigyti viešojo transporto priemonių skaičiaus (S</w:t>
                  </w:r>
                  <w:r>
                    <w:rPr>
                      <w:szCs w:val="24"/>
                      <w:vertAlign w:val="subscript"/>
                    </w:rPr>
                    <w:t>max</w:t>
                  </w:r>
                  <w:r>
                    <w:rPr>
                      <w:szCs w:val="24"/>
                    </w:rPr>
                    <w:t>) santykį padauginant iš kriterijaus lyginamojo svorio (20): T = (S/S</w:t>
                  </w:r>
                  <w:r>
                    <w:rPr>
                      <w:szCs w:val="24"/>
                      <w:vertAlign w:val="subscript"/>
                    </w:rPr>
                    <w:t>max</w:t>
                  </w:r>
                  <w:r>
                    <w:rPr>
                      <w:szCs w:val="24"/>
                    </w:rPr>
                    <w:t>) x 20.</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537F1" w14:textId="77777777" w:rsidR="00E55C1F" w:rsidRDefault="008E1F26">
                  <w:pPr>
                    <w:jc w:val="center"/>
                    <w:rPr>
                      <w:szCs w:val="24"/>
                    </w:rPr>
                  </w:pPr>
                  <w:r>
                    <w:rPr>
                      <w:szCs w:val="24"/>
                    </w:rPr>
                    <w:t>20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4FC4C2" w14:textId="77777777" w:rsidR="00E55C1F" w:rsidRDefault="008E1F26">
                  <w:pPr>
                    <w:jc w:val="center"/>
                    <w:rPr>
                      <w:szCs w:val="24"/>
                    </w:rPr>
                  </w:pPr>
                  <w:r>
                    <w:rPr>
                      <w:szCs w:val="24"/>
                    </w:rPr>
                    <w:t>20</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3C26C2" w14:textId="77777777" w:rsidR="00E55C1F" w:rsidRDefault="008E1F26">
                  <w:pPr>
                    <w:jc w:val="center"/>
                    <w:rPr>
                      <w:szCs w:val="24"/>
                    </w:rPr>
                  </w:pPr>
                  <w:r>
                    <w:rPr>
                      <w:szCs w:val="24"/>
                    </w:rPr>
                    <w:t>20</w:t>
                  </w:r>
                </w:p>
              </w:tc>
            </w:tr>
          </w:tbl>
          <w:p w14:paraId="4FFC4C11" w14:textId="77777777" w:rsidR="00E55C1F" w:rsidRDefault="008E1F26">
            <w:pPr>
              <w:tabs>
                <w:tab w:val="left" w:pos="420"/>
              </w:tabs>
              <w:jc w:val="both"/>
              <w:rPr>
                <w:iCs/>
                <w:szCs w:val="24"/>
              </w:rPr>
            </w:pPr>
            <w:r>
              <w:rPr>
                <w:color w:val="000000"/>
              </w:rPr>
              <w:t>9.2. Mažiausia balų suma, kurią turi surinkti planuojamas finansuoti projektas – 0,5. Balų suma apskaičiuojama sudėjus balus, skirtus pagal prioritetinius projektų atrankos kriterijus. Jei projektas vertinimo metu nesurenka minimalios balų sumos, PĮP atmetamas.</w:t>
            </w:r>
          </w:p>
          <w:p w14:paraId="1CFF169F" w14:textId="77777777" w:rsidR="00E55C1F" w:rsidRDefault="008E1F26">
            <w:pPr>
              <w:jc w:val="both"/>
              <w:rPr>
                <w:i/>
                <w:sz w:val="22"/>
                <w:szCs w:val="22"/>
              </w:rPr>
            </w:pPr>
            <w:r>
              <w:rPr>
                <w:iCs/>
                <w:szCs w:val="24"/>
              </w:rPr>
              <w:t>9.3. Jeigu projektai surenka vienodą galutinį balų skaičių ir visiems nepakanka kvietimui teikti PĮP skirtos finansavimo lėšų sumos, pirmenybė teikiama projektams, surinkusiems daugiau balų pagal pirmąjį Aprašo 9.1 papunkčio lentelėje nurodytą prioritetinį atrankos kriterijų,</w:t>
            </w:r>
            <w:r>
              <w:rPr>
                <w:color w:val="385623"/>
                <w:kern w:val="24"/>
                <w:sz w:val="32"/>
                <w:szCs w:val="32"/>
              </w:rPr>
              <w:t xml:space="preserve"> </w:t>
            </w:r>
            <w:r>
              <w:rPr>
                <w:iCs/>
                <w:szCs w:val="24"/>
              </w:rPr>
              <w:t>o jeigu projektai vienodai įvertinti pagal abu prioritetinius atrankos kriterijus, eiliškumas nustatomas pagal PĮP pateikimo laiką.</w:t>
            </w:r>
          </w:p>
        </w:tc>
      </w:tr>
      <w:tr w:rsidR="00E55C1F" w14:paraId="05018D72" w14:textId="77777777">
        <w:trPr>
          <w:trHeight w:val="309"/>
        </w:trPr>
        <w:tc>
          <w:tcPr>
            <w:tcW w:w="15134" w:type="dxa"/>
          </w:tcPr>
          <w:p w14:paraId="6929D5F2" w14:textId="77777777" w:rsidR="00E55C1F" w:rsidRDefault="008E1F26">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E55C1F" w14:paraId="25356E32" w14:textId="77777777">
        <w:trPr>
          <w:trHeight w:val="304"/>
        </w:trPr>
        <w:tc>
          <w:tcPr>
            <w:tcW w:w="15134" w:type="dxa"/>
          </w:tcPr>
          <w:p w14:paraId="279BF5E7" w14:textId="77777777" w:rsidR="00E55C1F" w:rsidRDefault="008E1F26">
            <w:pPr>
              <w:jc w:val="both"/>
              <w:rPr>
                <w:i/>
                <w:sz w:val="22"/>
                <w:szCs w:val="22"/>
              </w:rPr>
            </w:pPr>
            <w:r>
              <w:rPr>
                <w:iCs/>
                <w:sz w:val="22"/>
                <w:szCs w:val="22"/>
              </w:rPr>
              <w:t>Netaikomas</w:t>
            </w:r>
          </w:p>
        </w:tc>
      </w:tr>
      <w:tr w:rsidR="00E55C1F" w14:paraId="2CED449D" w14:textId="77777777">
        <w:tc>
          <w:tcPr>
            <w:tcW w:w="15134" w:type="dxa"/>
          </w:tcPr>
          <w:p w14:paraId="0DD12E63" w14:textId="77777777" w:rsidR="00E55C1F" w:rsidRDefault="008E1F26">
            <w:pPr>
              <w:rPr>
                <w:szCs w:val="24"/>
              </w:rPr>
            </w:pPr>
            <w:r>
              <w:rPr>
                <w:b/>
                <w:szCs w:val="24"/>
              </w:rPr>
              <w:t>11.</w:t>
            </w:r>
            <w:r>
              <w:rPr>
                <w:szCs w:val="24"/>
              </w:rPr>
              <w:t xml:space="preserve"> </w:t>
            </w:r>
            <w:r>
              <w:rPr>
                <w:b/>
                <w:szCs w:val="24"/>
              </w:rPr>
              <w:t>Reikalavimai įgyvendinus projektų veiklas</w:t>
            </w:r>
          </w:p>
        </w:tc>
      </w:tr>
      <w:tr w:rsidR="00E55C1F" w14:paraId="02F4B52B" w14:textId="77777777">
        <w:tc>
          <w:tcPr>
            <w:tcW w:w="15134" w:type="dxa"/>
          </w:tcPr>
          <w:p w14:paraId="256DFACD" w14:textId="77777777" w:rsidR="00E55C1F" w:rsidRDefault="008E1F26">
            <w:pPr>
              <w:tabs>
                <w:tab w:val="left" w:pos="599"/>
              </w:tabs>
              <w:jc w:val="both"/>
              <w:rPr>
                <w:color w:val="000000"/>
                <w:szCs w:val="24"/>
              </w:rPr>
            </w:pPr>
            <w:r>
              <w:rPr>
                <w:szCs w:val="24"/>
                <w:lang w:eastAsia="lt-LT"/>
              </w:rPr>
              <w:t xml:space="preserve">11.1. </w:t>
            </w:r>
            <w:r>
              <w:rPr>
                <w:color w:val="000000"/>
                <w:szCs w:val="24"/>
              </w:rPr>
              <w:t>Po projekto finansavimo pabaigos 5 metus turi būti užtikrintas investicijų tęstinumas Projektų taisyklių IV skyriaus dešimtajame skirsnyje nustatyta tvarka.</w:t>
            </w:r>
          </w:p>
          <w:p w14:paraId="073B540E" w14:textId="77777777" w:rsidR="00E55C1F" w:rsidRDefault="008E1F26">
            <w:pPr>
              <w:jc w:val="both"/>
              <w:rPr>
                <w:iCs/>
                <w:strike/>
                <w:szCs w:val="24"/>
              </w:rPr>
            </w:pPr>
            <w:r>
              <w:rPr>
                <w:color w:val="000000"/>
                <w:szCs w:val="24"/>
              </w:rPr>
              <w:t xml:space="preserve">11.2. </w:t>
            </w:r>
            <w:r>
              <w:rPr>
                <w:rFonts w:eastAsia="Calibri"/>
                <w:iCs/>
                <w:szCs w:val="24"/>
                <w:lang w:eastAsia="lt-LT"/>
              </w:rPr>
              <w:t xml:space="preserve">Projekto vykdytojas turi apdrausti projektui įgyvendinti skirtą </w:t>
            </w:r>
            <w:r>
              <w:rPr>
                <w:rFonts w:eastAsia="Calibri"/>
                <w:szCs w:val="24"/>
                <w:lang w:eastAsia="lt-LT"/>
              </w:rPr>
              <w:t>ilgalaikį</w:t>
            </w:r>
            <w:r>
              <w:rPr>
                <w:rFonts w:eastAsia="Calibri"/>
                <w:i/>
                <w:szCs w:val="24"/>
                <w:lang w:eastAsia="lt-LT"/>
              </w:rPr>
              <w:t xml:space="preserve"> </w:t>
            </w:r>
            <w:r>
              <w:rPr>
                <w:rFonts w:eastAsia="Calibri"/>
                <w:iCs/>
                <w:szCs w:val="24"/>
                <w:lang w:eastAsia="lt-LT"/>
              </w:rPr>
              <w:t xml:space="preserve">materialųjį turtą, kuris įsigytas ar sukurtas iš projektui skirto </w:t>
            </w:r>
            <w:r>
              <w:rPr>
                <w:rFonts w:eastAsia="Calibri"/>
                <w:szCs w:val="24"/>
                <w:lang w:eastAsia="lt-LT"/>
              </w:rPr>
              <w:t>finansavimo lėšų</w:t>
            </w:r>
            <w:r>
              <w:rPr>
                <w:rFonts w:eastAsia="Calibri"/>
                <w:iCs/>
                <w:szCs w:val="24"/>
                <w:lang w:eastAsia="lt-LT"/>
              </w:rPr>
              <w:t>, maksimaliu turto atkuriamosios vertės draudimu nuo visų galimų rizikos atvejų; turtas turi būti</w:t>
            </w:r>
            <w:r>
              <w:rPr>
                <w:sz w:val="20"/>
              </w:rPr>
              <w:t xml:space="preserve"> </w:t>
            </w:r>
            <w:r>
              <w:rPr>
                <w:szCs w:val="24"/>
              </w:rPr>
              <w:t>draudžiamas Aprašo 11.1 papunktyje nurodytą laikotarpį</w:t>
            </w:r>
            <w:r>
              <w:rPr>
                <w:sz w:val="20"/>
              </w:rPr>
              <w:t xml:space="preserve"> </w:t>
            </w:r>
            <w:r>
              <w:rPr>
                <w:rFonts w:eastAsia="Calibri"/>
                <w:iCs/>
                <w:szCs w:val="24"/>
                <w:lang w:eastAsia="lt-LT"/>
              </w:rPr>
              <w:t>nuo tada, kai yra įsigyjamas; draudžiamojo įvykio atveju Projekto vykdytojas turi atkurti prarastą turtą.</w:t>
            </w:r>
          </w:p>
          <w:p w14:paraId="0A145ECD" w14:textId="77777777" w:rsidR="00E55C1F" w:rsidRDefault="008E1F26">
            <w:pPr>
              <w:jc w:val="both"/>
              <w:rPr>
                <w:color w:val="232323"/>
              </w:rPr>
            </w:pPr>
            <w:r>
              <w:rPr>
                <w:szCs w:val="24"/>
              </w:rPr>
              <w:t xml:space="preserve">11.3. </w:t>
            </w:r>
            <w:r>
              <w:rPr>
                <w:rFonts w:eastAsia="Calibri"/>
                <w:iCs/>
                <w:szCs w:val="24"/>
                <w:lang w:eastAsia="lt-LT"/>
              </w:rPr>
              <w:t xml:space="preserve">Projekto vykdytojas </w:t>
            </w:r>
            <w:r>
              <w:rPr>
                <w:color w:val="232323"/>
              </w:rPr>
              <w:t>turi užtikrinti, kad ilgalaikis materialusis turtas, kuris įsigytas ar sukurtas iš projektui skirtų lėšų, būtų naudojamas ir prižiūrimas vadovaujantis gamintojo rekomendacijomis per visą Aprašo 11.1 papunktyje nurodytą laikotarpį.</w:t>
            </w:r>
          </w:p>
          <w:p w14:paraId="4A859D69" w14:textId="77777777" w:rsidR="00E55C1F" w:rsidRDefault="008E1F26">
            <w:pPr>
              <w:jc w:val="both"/>
              <w:rPr>
                <w:i/>
                <w:sz w:val="22"/>
                <w:szCs w:val="22"/>
              </w:rPr>
            </w:pPr>
            <w:r>
              <w:rPr>
                <w:color w:val="232323"/>
              </w:rPr>
              <w:t>11.4. Per Aprašo 11.1 papunktyje nurodytą laikotarpį baigus galioti viešojo transporto paslaugų teikimo sutartims arba jas nutraukus, projekto vykdytojas privalo pateikti CPVA naujai sudarytų ir galiojančių viešojo transporto paslaugų teikimo Aprašo 2.2 papunktyje nurodytų savivaldybių teritorijose sutartis. Jeigu projekto vykdytojas šių sutarčių nepateikia, jis privalo sugrąžinti išmokėtą finansavimo lėšų dalį, skaičiuojamą proporcingai projekto tęstinumo laikotarpiui (mėnesiais), kurį nėra užtikrinamas keleivių vežimas pagal Aprašo 2.2 papunktyje nurodytas sutartis.</w:t>
            </w:r>
          </w:p>
        </w:tc>
      </w:tr>
      <w:tr w:rsidR="00E55C1F" w14:paraId="4CB3DC5F" w14:textId="77777777">
        <w:tc>
          <w:tcPr>
            <w:tcW w:w="15134" w:type="dxa"/>
          </w:tcPr>
          <w:p w14:paraId="00D6D4F1" w14:textId="77777777" w:rsidR="00E55C1F" w:rsidRDefault="008E1F26">
            <w:pPr>
              <w:rPr>
                <w:szCs w:val="24"/>
              </w:rPr>
            </w:pPr>
            <w:r>
              <w:rPr>
                <w:b/>
                <w:szCs w:val="24"/>
              </w:rPr>
              <w:t>12.</w:t>
            </w:r>
            <w:r>
              <w:rPr>
                <w:szCs w:val="24"/>
              </w:rPr>
              <w:t xml:space="preserve"> </w:t>
            </w:r>
            <w:r>
              <w:rPr>
                <w:b/>
                <w:szCs w:val="24"/>
              </w:rPr>
              <w:t>Kiti reikalavimai</w:t>
            </w:r>
          </w:p>
        </w:tc>
      </w:tr>
      <w:tr w:rsidR="00E55C1F" w14:paraId="20ECC27C" w14:textId="77777777">
        <w:tc>
          <w:tcPr>
            <w:tcW w:w="15134" w:type="dxa"/>
          </w:tcPr>
          <w:p w14:paraId="2B1A098A" w14:textId="77777777" w:rsidR="00E55C1F" w:rsidRDefault="008E1F26">
            <w:pPr>
              <w:ind w:left="34"/>
              <w:jc w:val="both"/>
              <w:rPr>
                <w:i/>
                <w:sz w:val="22"/>
                <w:szCs w:val="22"/>
              </w:rPr>
            </w:pPr>
            <w:r>
              <w:rPr>
                <w:iCs/>
                <w:szCs w:val="24"/>
              </w:rPr>
              <w:t xml:space="preserve">Įgyvendinant </w:t>
            </w:r>
            <w:r>
              <w:rPr>
                <w:szCs w:val="24"/>
              </w:rPr>
              <w:t>projektą, kurio vertė viršija 10 000 000 (dešimt milijonų) eurų, p</w:t>
            </w:r>
            <w:r>
              <w:rPr>
                <w:iCs/>
                <w:szCs w:val="24"/>
              </w:rPr>
              <w:t xml:space="preserve">apildomai </w:t>
            </w:r>
            <w:r>
              <w:rPr>
                <w:szCs w:val="24"/>
              </w:rPr>
              <w:t>projekto vykdytojas turi surengti ne mažiau kaip vieną komunikacinį renginį ar įgyvendinti kitą komunikacinę veiklą ir laiku (prieš 2–3 mėnesius)</w:t>
            </w:r>
            <w:r>
              <w:rPr>
                <w:i/>
                <w:iCs/>
                <w:szCs w:val="24"/>
              </w:rPr>
              <w:t xml:space="preserve"> </w:t>
            </w:r>
            <w:r>
              <w:rPr>
                <w:szCs w:val="24"/>
              </w:rPr>
              <w:t>pakviesti ar įtraukti į jį Europos Komisijos ir vadovaujančiosios institucijos atstovus.</w:t>
            </w:r>
          </w:p>
        </w:tc>
      </w:tr>
      <w:tr w:rsidR="00E55C1F" w14:paraId="7F5A68AE" w14:textId="77777777">
        <w:tc>
          <w:tcPr>
            <w:tcW w:w="15134" w:type="dxa"/>
          </w:tcPr>
          <w:p w14:paraId="35EDD03C" w14:textId="77777777" w:rsidR="00E55C1F" w:rsidRDefault="008E1F26">
            <w:pPr>
              <w:jc w:val="both"/>
              <w:rPr>
                <w:b/>
                <w:szCs w:val="24"/>
                <w:highlight w:val="yellow"/>
              </w:rPr>
            </w:pPr>
            <w:r>
              <w:rPr>
                <w:b/>
                <w:szCs w:val="24"/>
              </w:rPr>
              <w:t>13. Išlaidų tinkamumo finansuoti reikalavimai</w:t>
            </w:r>
          </w:p>
        </w:tc>
      </w:tr>
      <w:tr w:rsidR="00E55C1F" w14:paraId="47B913B7" w14:textId="77777777">
        <w:tc>
          <w:tcPr>
            <w:tcW w:w="15134" w:type="dxa"/>
          </w:tcPr>
          <w:p w14:paraId="4A6EE813" w14:textId="77777777" w:rsidR="00E55C1F" w:rsidRDefault="008E1F26">
            <w:pPr>
              <w:jc w:val="both"/>
            </w:pPr>
            <w:r>
              <w:rPr>
                <w:szCs w:val="24"/>
              </w:rPr>
              <w:lastRenderedPageBreak/>
              <w:t>13.1. Projekto išlaidos turi atitikti Administravimo taisyklių, Projektų taisyklių VII skyriuje ir CPVA</w:t>
            </w:r>
            <w:r>
              <w:rPr>
                <w:szCs w:val="24"/>
                <w:lang w:eastAsia="lt-LT"/>
              </w:rPr>
              <w:t xml:space="preserve"> parengtose</w:t>
            </w:r>
            <w:r>
              <w:rPr>
                <w:szCs w:val="24"/>
              </w:rPr>
              <w:t xml:space="preserve"> Rekomendacijose dėl projektų išlaidų atitikties Europos Sąjungos fondų reikalavimams, kurios skelbiamos Europos Sąjungos fondų investicijų interneto svetainėje www.esinvesticijos.lt, išdėstytus projekto išlaidoms taikomus reikalavimus.</w:t>
            </w:r>
          </w:p>
          <w:p w14:paraId="1BCA0D53" w14:textId="77777777" w:rsidR="00E55C1F" w:rsidRDefault="008E1F26">
            <w:pPr>
              <w:jc w:val="both"/>
              <w:rPr>
                <w:shd w:val="clear" w:color="auto" w:fill="FFFFFF"/>
              </w:rPr>
            </w:pPr>
            <w:r>
              <w:rPr>
                <w:szCs w:val="24"/>
              </w:rPr>
              <w:t>13</w:t>
            </w:r>
            <w:r>
              <w:rPr>
                <w:shd w:val="clear" w:color="auto" w:fill="FFFFFF"/>
              </w:rPr>
              <w:t>.2. Pagal Aprašą tinkamos finansuoti išlaidos:</w:t>
            </w:r>
          </w:p>
          <w:p w14:paraId="316DFCA0" w14:textId="77777777" w:rsidR="00E55C1F" w:rsidRDefault="008E1F26">
            <w:pPr>
              <w:jc w:val="both"/>
              <w:rPr>
                <w:shd w:val="clear" w:color="auto" w:fill="FFFFFF"/>
              </w:rPr>
            </w:pPr>
            <w:r>
              <w:rPr>
                <w:szCs w:val="24"/>
              </w:rPr>
              <w:t>13</w:t>
            </w:r>
            <w:r>
              <w:rPr>
                <w:shd w:val="clear" w:color="auto" w:fill="FFFFFF"/>
              </w:rPr>
              <w:t>.2.1.</w:t>
            </w:r>
            <w:r>
              <w:rPr>
                <w:sz w:val="20"/>
                <w:shd w:val="clear" w:color="auto" w:fill="FFFFFF"/>
              </w:rPr>
              <w:t xml:space="preserve"> </w:t>
            </w:r>
            <w:r>
              <w:rPr>
                <w:szCs w:val="24"/>
                <w:shd w:val="clear" w:color="auto" w:fill="FFFFFF"/>
              </w:rPr>
              <w:t>visai netaršių transporto priemonių įsigijimo išlaidos;</w:t>
            </w:r>
          </w:p>
          <w:p w14:paraId="638146F0" w14:textId="77777777" w:rsidR="00E55C1F" w:rsidRDefault="008E1F26">
            <w:pPr>
              <w:tabs>
                <w:tab w:val="left" w:pos="447"/>
                <w:tab w:val="left" w:pos="589"/>
              </w:tabs>
              <w:jc w:val="both"/>
              <w:rPr>
                <w:szCs w:val="24"/>
              </w:rPr>
            </w:pPr>
            <w:r>
              <w:rPr>
                <w:szCs w:val="24"/>
              </w:rPr>
              <w:t>13</w:t>
            </w:r>
            <w:r>
              <w:rPr>
                <w:szCs w:val="24"/>
                <w:shd w:val="clear" w:color="auto" w:fill="FFFFFF"/>
              </w:rPr>
              <w:t xml:space="preserve">.2.2. visai netaršių transporto priemonių įkrovimo / pildymo infrastruktūros įrengimo </w:t>
            </w:r>
            <w:r>
              <w:rPr>
                <w:szCs w:val="24"/>
              </w:rPr>
              <w:t xml:space="preserve">– </w:t>
            </w:r>
            <w:r>
              <w:rPr>
                <w:szCs w:val="24"/>
                <w:shd w:val="clear" w:color="auto" w:fill="FFFFFF"/>
              </w:rPr>
              <w:t xml:space="preserve">elektros įkrovimo / degalų pildymo </w:t>
            </w:r>
            <w:r>
              <w:rPr>
                <w:szCs w:val="24"/>
              </w:rPr>
              <w:t>įrangos įsigijimo ir montavimo, infrastruktūros statybos darbų išlaidos.</w:t>
            </w:r>
          </w:p>
          <w:p w14:paraId="718B4398" w14:textId="77777777" w:rsidR="00E55C1F" w:rsidRDefault="008E1F26">
            <w:pPr>
              <w:tabs>
                <w:tab w:val="left" w:pos="426"/>
                <w:tab w:val="left" w:pos="645"/>
              </w:tabs>
              <w:jc w:val="both"/>
              <w:rPr>
                <w:szCs w:val="24"/>
              </w:rPr>
            </w:pPr>
            <w:r>
              <w:rPr>
                <w:szCs w:val="24"/>
              </w:rPr>
              <w:t>13.3. Projekto išlaidos gali būti patirtos iki projekto sutarties pasirašymo, neprieštaraujant Aprašo 2.19 papunkčio nuostatoms.</w:t>
            </w:r>
          </w:p>
          <w:p w14:paraId="06AD1954" w14:textId="77777777" w:rsidR="00E55C1F" w:rsidRDefault="008E1F26">
            <w:pPr>
              <w:tabs>
                <w:tab w:val="left" w:pos="426"/>
                <w:tab w:val="left" w:pos="645"/>
              </w:tabs>
              <w:jc w:val="both"/>
              <w:rPr>
                <w:szCs w:val="24"/>
              </w:rPr>
            </w:pPr>
            <w:r>
              <w:rPr>
                <w:szCs w:val="24"/>
              </w:rPr>
              <w:t>13.4. Projekto išlaidos apmokamos išlaidų kompensavimo būdu projekto vykdytojui deklaruojant patirtas ir apmokėtas išlaidas.</w:t>
            </w:r>
          </w:p>
          <w:p w14:paraId="39B16FC7" w14:textId="77777777" w:rsidR="00E55C1F" w:rsidRDefault="008E1F26">
            <w:pPr>
              <w:tabs>
                <w:tab w:val="left" w:pos="426"/>
                <w:tab w:val="left" w:pos="645"/>
              </w:tabs>
              <w:jc w:val="both"/>
              <w:rPr>
                <w:szCs w:val="24"/>
              </w:rPr>
            </w:pPr>
            <w:r>
              <w:rPr>
                <w:szCs w:val="24"/>
              </w:rPr>
              <w:t>13.5. Pareiškėjo prašymu išankstiniai (avansiniai) mokėjimai gali būti atliekami Projektų taisyklėse numatyta tvarka.</w:t>
            </w:r>
          </w:p>
          <w:p w14:paraId="6719EAF9" w14:textId="77777777" w:rsidR="00E55C1F" w:rsidRDefault="008E1F26">
            <w:pPr>
              <w:jc w:val="both"/>
              <w:rPr>
                <w:szCs w:val="24"/>
              </w:rPr>
            </w:pPr>
            <w:r>
              <w:rPr>
                <w:szCs w:val="24"/>
              </w:rPr>
              <w:t>13.6. Pagal Aprašą netinkamomis finansuoti laikomos šios išlaidos:</w:t>
            </w:r>
          </w:p>
          <w:p w14:paraId="68584FCF" w14:textId="77777777" w:rsidR="00E55C1F" w:rsidRDefault="008E1F26">
            <w:pPr>
              <w:tabs>
                <w:tab w:val="left" w:pos="700"/>
              </w:tabs>
              <w:jc w:val="both"/>
              <w:rPr>
                <w:szCs w:val="24"/>
                <w:lang w:eastAsia="lt-LT"/>
              </w:rPr>
            </w:pPr>
            <w:r>
              <w:rPr>
                <w:szCs w:val="24"/>
              </w:rPr>
              <w:t xml:space="preserve">13.6.1. </w:t>
            </w:r>
            <w:r>
              <w:rPr>
                <w:szCs w:val="24"/>
                <w:lang w:eastAsia="lt-LT"/>
              </w:rPr>
              <w:t>nurodytos Projektų taisyklių VII skyriaus trečiajame skirsnyje;</w:t>
            </w:r>
          </w:p>
          <w:p w14:paraId="1EFAB3FC" w14:textId="77777777" w:rsidR="00E55C1F" w:rsidRDefault="008E1F26">
            <w:pPr>
              <w:tabs>
                <w:tab w:val="left" w:pos="700"/>
              </w:tabs>
              <w:jc w:val="both"/>
              <w:rPr>
                <w:szCs w:val="24"/>
                <w:lang w:eastAsia="lt-LT"/>
              </w:rPr>
            </w:pPr>
            <w:r>
              <w:rPr>
                <w:szCs w:val="24"/>
              </w:rPr>
              <w:t>13</w:t>
            </w:r>
            <w:r>
              <w:rPr>
                <w:szCs w:val="24"/>
                <w:lang w:eastAsia="lt-LT"/>
              </w:rPr>
              <w:t>.6.2. pridėtinės vertės mokestis;</w:t>
            </w:r>
          </w:p>
          <w:p w14:paraId="12D780B9" w14:textId="77777777" w:rsidR="00E55C1F" w:rsidRDefault="008E1F26">
            <w:pPr>
              <w:tabs>
                <w:tab w:val="left" w:pos="700"/>
              </w:tabs>
              <w:jc w:val="both"/>
              <w:rPr>
                <w:szCs w:val="24"/>
                <w:lang w:eastAsia="lt-LT"/>
              </w:rPr>
            </w:pPr>
            <w:r>
              <w:rPr>
                <w:szCs w:val="24"/>
              </w:rPr>
              <w:t>13.6.3. žemės įsigijimo ar nuomos</w:t>
            </w:r>
            <w:r>
              <w:rPr>
                <w:szCs w:val="24"/>
                <w:lang w:eastAsia="lt-LT"/>
              </w:rPr>
              <w:t>;</w:t>
            </w:r>
          </w:p>
          <w:p w14:paraId="7071F931" w14:textId="77777777" w:rsidR="00E55C1F" w:rsidRDefault="008E1F26">
            <w:pPr>
              <w:tabs>
                <w:tab w:val="left" w:pos="700"/>
              </w:tabs>
              <w:jc w:val="both"/>
              <w:rPr>
                <w:szCs w:val="24"/>
                <w:lang w:eastAsia="lt-LT"/>
              </w:rPr>
            </w:pPr>
            <w:r>
              <w:rPr>
                <w:szCs w:val="24"/>
              </w:rPr>
              <w:t>13</w:t>
            </w:r>
            <w:r>
              <w:rPr>
                <w:szCs w:val="24"/>
                <w:lang w:eastAsia="lt-LT"/>
              </w:rPr>
              <w:t>.6.4. įrangos, įrenginių ir kito turto lizingo (finansinės nuomos);</w:t>
            </w:r>
          </w:p>
          <w:p w14:paraId="5F71D1A6" w14:textId="77777777" w:rsidR="00E55C1F" w:rsidRDefault="008E1F26">
            <w:pPr>
              <w:tabs>
                <w:tab w:val="left" w:pos="700"/>
              </w:tabs>
              <w:jc w:val="both"/>
              <w:rPr>
                <w:szCs w:val="24"/>
                <w:lang w:eastAsia="lt-LT"/>
              </w:rPr>
            </w:pPr>
            <w:r>
              <w:rPr>
                <w:szCs w:val="24"/>
              </w:rPr>
              <w:t>13</w:t>
            </w:r>
            <w:r>
              <w:rPr>
                <w:szCs w:val="24"/>
                <w:lang w:eastAsia="lt-LT"/>
              </w:rPr>
              <w:t>.6.5. įrangos, įrenginių ir kito turto atsarginių / pakaitinių dalių įsigijimo išlaidos;</w:t>
            </w:r>
          </w:p>
          <w:p w14:paraId="2C84A918" w14:textId="77777777" w:rsidR="00E55C1F" w:rsidRDefault="008E1F26">
            <w:pPr>
              <w:tabs>
                <w:tab w:val="left" w:pos="700"/>
              </w:tabs>
              <w:jc w:val="both"/>
              <w:rPr>
                <w:szCs w:val="24"/>
              </w:rPr>
            </w:pPr>
            <w:r>
              <w:rPr>
                <w:szCs w:val="24"/>
              </w:rPr>
              <w:t>13.6.6. transporto priemonių eksploatavimo ir susijusios išlaidos;</w:t>
            </w:r>
          </w:p>
          <w:p w14:paraId="7857C4BF" w14:textId="77777777" w:rsidR="00E55C1F" w:rsidRDefault="008E1F26">
            <w:pPr>
              <w:tabs>
                <w:tab w:val="left" w:pos="700"/>
              </w:tabs>
              <w:jc w:val="both"/>
              <w:rPr>
                <w:szCs w:val="24"/>
                <w:lang w:eastAsia="lt-LT"/>
              </w:rPr>
            </w:pPr>
            <w:r>
              <w:rPr>
                <w:szCs w:val="24"/>
              </w:rPr>
              <w:t>13</w:t>
            </w:r>
            <w:r>
              <w:rPr>
                <w:szCs w:val="24"/>
                <w:lang w:eastAsia="lt-LT"/>
              </w:rPr>
              <w:t>.6.7. naudojamo ilgalaikio turto nusidėvėjimo (amortizacijos) sąnaudos;</w:t>
            </w:r>
          </w:p>
          <w:p w14:paraId="5A23DB15" w14:textId="77777777" w:rsidR="00E55C1F" w:rsidRDefault="008E1F26">
            <w:pPr>
              <w:tabs>
                <w:tab w:val="left" w:pos="700"/>
              </w:tabs>
              <w:jc w:val="both"/>
              <w:rPr>
                <w:szCs w:val="24"/>
                <w:lang w:eastAsia="lt-LT"/>
              </w:rPr>
            </w:pPr>
            <w:r>
              <w:rPr>
                <w:szCs w:val="24"/>
              </w:rPr>
              <w:t>13</w:t>
            </w:r>
            <w:r>
              <w:rPr>
                <w:szCs w:val="24"/>
                <w:lang w:eastAsia="lt-LT"/>
              </w:rPr>
              <w:t>.6.8. projektą vykdančio personalo ir (arba) projekto veiklose dalyvaujančių asmenų darbo užmokestis, komandiruočių ir kelionių išlaidos;</w:t>
            </w:r>
          </w:p>
          <w:p w14:paraId="2C988CAC" w14:textId="77777777" w:rsidR="00E55C1F" w:rsidRDefault="008E1F26">
            <w:pPr>
              <w:tabs>
                <w:tab w:val="left" w:pos="700"/>
              </w:tabs>
              <w:jc w:val="both"/>
              <w:rPr>
                <w:szCs w:val="24"/>
                <w:lang w:eastAsia="lt-LT"/>
              </w:rPr>
            </w:pPr>
            <w:r>
              <w:rPr>
                <w:szCs w:val="24"/>
              </w:rPr>
              <w:t>13</w:t>
            </w:r>
            <w:r>
              <w:rPr>
                <w:szCs w:val="24"/>
                <w:lang w:eastAsia="lt-LT"/>
              </w:rPr>
              <w:t>.6.9. netiesioginės išlaidos ir kitos išlaidos pagal fiksuotąją projekto išlaidų normą.</w:t>
            </w:r>
          </w:p>
          <w:p w14:paraId="7359665E" w14:textId="77777777" w:rsidR="00E55C1F" w:rsidRDefault="008E1F26">
            <w:pPr>
              <w:jc w:val="both"/>
              <w:rPr>
                <w:sz w:val="22"/>
                <w:szCs w:val="22"/>
              </w:rPr>
            </w:pPr>
            <w:r>
              <w:rPr>
                <w:szCs w:val="24"/>
              </w:rPr>
              <w:t>13</w:t>
            </w:r>
            <w:r>
              <w:rPr>
                <w:szCs w:val="24"/>
                <w:lang w:eastAsia="lt-LT"/>
              </w:rPr>
              <w:t>.7. Nepiniginis p</w:t>
            </w:r>
            <w:r>
              <w:rPr>
                <w:szCs w:val="24"/>
              </w:rPr>
              <w:t xml:space="preserve">areiškėjo </w:t>
            </w:r>
            <w:r>
              <w:rPr>
                <w:szCs w:val="24"/>
                <w:lang w:eastAsia="lt-LT"/>
              </w:rPr>
              <w:t>įnašas laikomas netinkamomis finansuoti išlaidomis.</w:t>
            </w:r>
          </w:p>
        </w:tc>
      </w:tr>
      <w:tr w:rsidR="00E55C1F" w14:paraId="162195AF" w14:textId="77777777">
        <w:trPr>
          <w:trHeight w:val="349"/>
        </w:trPr>
        <w:tc>
          <w:tcPr>
            <w:tcW w:w="15134" w:type="dxa"/>
          </w:tcPr>
          <w:p w14:paraId="22363F28" w14:textId="77777777" w:rsidR="00E55C1F" w:rsidRDefault="008E1F26">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E55C1F" w14:paraId="3664FB18"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2268"/>
              <w:gridCol w:w="1984"/>
              <w:gridCol w:w="3827"/>
              <w:gridCol w:w="4220"/>
            </w:tblGrid>
            <w:tr w:rsidR="00E55C1F" w14:paraId="07938678" w14:textId="77777777">
              <w:tc>
                <w:tcPr>
                  <w:tcW w:w="14874" w:type="dxa"/>
                  <w:gridSpan w:val="5"/>
                  <w:tcBorders>
                    <w:top w:val="single" w:sz="8" w:space="0" w:color="auto"/>
                    <w:left w:val="single" w:sz="8" w:space="0" w:color="auto"/>
                    <w:bottom w:val="single" w:sz="8" w:space="0" w:color="auto"/>
                    <w:right w:val="single" w:sz="8" w:space="0" w:color="auto"/>
                  </w:tcBorders>
                </w:tcPr>
                <w:p w14:paraId="21781E3D" w14:textId="77777777" w:rsidR="00E55C1F" w:rsidRDefault="008E1F26">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182CBE76" w14:textId="77777777" w:rsidR="00E55C1F" w:rsidRDefault="008E1F26">
                  <w:pPr>
                    <w:jc w:val="both"/>
                    <w:rPr>
                      <w:bCs/>
                      <w:sz w:val="22"/>
                      <w:szCs w:val="22"/>
                    </w:rPr>
                  </w:pPr>
                  <w:r>
                    <w:rPr>
                      <w:b/>
                      <w:bCs/>
                      <w:sz w:val="22"/>
                      <w:szCs w:val="22"/>
                    </w:rPr>
                    <w:t>X Neindeksuojama</w:t>
                  </w:r>
                </w:p>
              </w:tc>
            </w:tr>
            <w:tr w:rsidR="00E55C1F" w14:paraId="4A5056E0" w14:textId="77777777">
              <w:tc>
                <w:tcPr>
                  <w:tcW w:w="2575" w:type="dxa"/>
                  <w:tcBorders>
                    <w:top w:val="single" w:sz="8" w:space="0" w:color="auto"/>
                    <w:left w:val="single" w:sz="8" w:space="0" w:color="auto"/>
                    <w:bottom w:val="single" w:sz="8" w:space="0" w:color="auto"/>
                    <w:right w:val="single" w:sz="8" w:space="0" w:color="auto"/>
                  </w:tcBorders>
                  <w:vAlign w:val="center"/>
                </w:tcPr>
                <w:p w14:paraId="419A55A7" w14:textId="77777777" w:rsidR="00E55C1F" w:rsidRDefault="008E1F26">
                  <w:pPr>
                    <w:jc w:val="center"/>
                    <w:rPr>
                      <w:b/>
                      <w:bCs/>
                      <w:sz w:val="22"/>
                      <w:szCs w:val="22"/>
                    </w:rPr>
                  </w:pPr>
                  <w:r>
                    <w:rPr>
                      <w:b/>
                      <w:bCs/>
                      <w:sz w:val="22"/>
                      <w:szCs w:val="22"/>
                    </w:rPr>
                    <w:t>Veiklos ir (ar) išlaidos, kurioms taikomi supaprastintai apmokamų išlaidų dydžiai</w:t>
                  </w:r>
                </w:p>
              </w:tc>
              <w:tc>
                <w:tcPr>
                  <w:tcW w:w="2268" w:type="dxa"/>
                  <w:tcBorders>
                    <w:top w:val="single" w:sz="8" w:space="0" w:color="auto"/>
                    <w:left w:val="single" w:sz="8" w:space="0" w:color="auto"/>
                    <w:bottom w:val="single" w:sz="8" w:space="0" w:color="auto"/>
                    <w:right w:val="single" w:sz="8" w:space="0" w:color="auto"/>
                  </w:tcBorders>
                  <w:vAlign w:val="center"/>
                </w:tcPr>
                <w:p w14:paraId="58D4BA03" w14:textId="77777777" w:rsidR="00E55C1F" w:rsidRDefault="008E1F26">
                  <w:pPr>
                    <w:jc w:val="center"/>
                    <w:rPr>
                      <w:b/>
                      <w:bCs/>
                      <w:sz w:val="22"/>
                      <w:szCs w:val="22"/>
                    </w:rPr>
                  </w:pPr>
                  <w:r>
                    <w:rPr>
                      <w:b/>
                      <w:bCs/>
                      <w:sz w:val="22"/>
                      <w:szCs w:val="22"/>
                    </w:rPr>
                    <w:t>Supaprastintai apmokamų išlaidų dydžio kodas</w:t>
                  </w:r>
                </w:p>
              </w:tc>
              <w:tc>
                <w:tcPr>
                  <w:tcW w:w="1984" w:type="dxa"/>
                  <w:tcBorders>
                    <w:top w:val="single" w:sz="8" w:space="0" w:color="auto"/>
                    <w:left w:val="single" w:sz="8" w:space="0" w:color="auto"/>
                    <w:bottom w:val="single" w:sz="8" w:space="0" w:color="auto"/>
                    <w:right w:val="single" w:sz="8" w:space="0" w:color="auto"/>
                  </w:tcBorders>
                  <w:vAlign w:val="center"/>
                </w:tcPr>
                <w:p w14:paraId="73F0F6D4" w14:textId="77777777" w:rsidR="00E55C1F" w:rsidRDefault="008E1F26">
                  <w:pPr>
                    <w:jc w:val="center"/>
                    <w:rPr>
                      <w:b/>
                      <w:bCs/>
                      <w:i/>
                      <w:iCs/>
                      <w:color w:val="808080"/>
                      <w:sz w:val="22"/>
                      <w:szCs w:val="22"/>
                    </w:rPr>
                  </w:pPr>
                  <w:r>
                    <w:rPr>
                      <w:b/>
                      <w:bCs/>
                      <w:sz w:val="22"/>
                      <w:szCs w:val="22"/>
                    </w:rPr>
                    <w:t>Supaprastintai apmokamų išlaidų dydžio versija</w:t>
                  </w:r>
                </w:p>
              </w:tc>
              <w:tc>
                <w:tcPr>
                  <w:tcW w:w="3827" w:type="dxa"/>
                  <w:tcBorders>
                    <w:top w:val="single" w:sz="8" w:space="0" w:color="auto"/>
                    <w:left w:val="single" w:sz="8" w:space="0" w:color="auto"/>
                    <w:bottom w:val="single" w:sz="8" w:space="0" w:color="auto"/>
                    <w:right w:val="single" w:sz="8" w:space="0" w:color="auto"/>
                  </w:tcBorders>
                  <w:vAlign w:val="center"/>
                </w:tcPr>
                <w:p w14:paraId="7E3A18E0" w14:textId="77777777" w:rsidR="00E55C1F" w:rsidRDefault="008E1F26">
                  <w:pPr>
                    <w:jc w:val="center"/>
                    <w:rPr>
                      <w:b/>
                      <w:bCs/>
                      <w:sz w:val="22"/>
                      <w:szCs w:val="22"/>
                    </w:rPr>
                  </w:pPr>
                  <w:r>
                    <w:rPr>
                      <w:b/>
                      <w:bCs/>
                      <w:sz w:val="22"/>
                      <w:szCs w:val="22"/>
                    </w:rPr>
                    <w:t>Supaprastintai apmokamų išlaidų dydžio pavadinimas</w:t>
                  </w:r>
                </w:p>
              </w:tc>
              <w:tc>
                <w:tcPr>
                  <w:tcW w:w="4220" w:type="dxa"/>
                  <w:tcBorders>
                    <w:top w:val="single" w:sz="8" w:space="0" w:color="auto"/>
                    <w:left w:val="single" w:sz="8" w:space="0" w:color="auto"/>
                    <w:bottom w:val="single" w:sz="8" w:space="0" w:color="auto"/>
                    <w:right w:val="single" w:sz="8" w:space="0" w:color="auto"/>
                  </w:tcBorders>
                  <w:vAlign w:val="center"/>
                </w:tcPr>
                <w:p w14:paraId="15D93EF1" w14:textId="77777777" w:rsidR="00E55C1F" w:rsidRDefault="008E1F26">
                  <w:pPr>
                    <w:jc w:val="center"/>
                    <w:rPr>
                      <w:b/>
                      <w:bCs/>
                      <w:sz w:val="22"/>
                      <w:szCs w:val="22"/>
                    </w:rPr>
                  </w:pPr>
                  <w:r>
                    <w:rPr>
                      <w:b/>
                      <w:bCs/>
                      <w:sz w:val="22"/>
                      <w:szCs w:val="22"/>
                    </w:rPr>
                    <w:t>Papildoma informacija</w:t>
                  </w:r>
                </w:p>
              </w:tc>
            </w:tr>
            <w:tr w:rsidR="00E55C1F" w14:paraId="78F3EFB1" w14:textId="77777777">
              <w:tc>
                <w:tcPr>
                  <w:tcW w:w="2575" w:type="dxa"/>
                  <w:tcBorders>
                    <w:top w:val="single" w:sz="8" w:space="0" w:color="auto"/>
                    <w:left w:val="single" w:sz="8" w:space="0" w:color="auto"/>
                    <w:bottom w:val="single" w:sz="8" w:space="0" w:color="auto"/>
                    <w:right w:val="single" w:sz="8" w:space="0" w:color="auto"/>
                  </w:tcBorders>
                </w:tcPr>
                <w:p w14:paraId="0721B97A" w14:textId="77777777" w:rsidR="00E55C1F" w:rsidRDefault="008E1F26">
                  <w:pPr>
                    <w:jc w:val="both"/>
                    <w:rPr>
                      <w:i/>
                      <w:iCs/>
                      <w:sz w:val="20"/>
                    </w:rPr>
                  </w:pPr>
                  <w:r>
                    <w:rPr>
                      <w:szCs w:val="24"/>
                    </w:rPr>
                    <w:t>Privalomos projektų matomumo ir informavimo apie projektus priemonės ir išlaidos</w:t>
                  </w:r>
                </w:p>
              </w:tc>
              <w:tc>
                <w:tcPr>
                  <w:tcW w:w="2268" w:type="dxa"/>
                  <w:tcBorders>
                    <w:top w:val="single" w:sz="8" w:space="0" w:color="auto"/>
                    <w:left w:val="single" w:sz="8" w:space="0" w:color="auto"/>
                    <w:bottom w:val="single" w:sz="8" w:space="0" w:color="auto"/>
                    <w:right w:val="single" w:sz="8" w:space="0" w:color="auto"/>
                  </w:tcBorders>
                </w:tcPr>
                <w:p w14:paraId="33D53897" w14:textId="77777777" w:rsidR="00E55C1F" w:rsidRDefault="008E1F26">
                  <w:pPr>
                    <w:jc w:val="center"/>
                    <w:rPr>
                      <w:i/>
                      <w:iCs/>
                      <w:sz w:val="20"/>
                    </w:rPr>
                  </w:pPr>
                  <w:r>
                    <w:rPr>
                      <w:szCs w:val="24"/>
                      <w:lang w:eastAsia="lt-LT"/>
                    </w:rPr>
                    <w:t>FS-01-03</w:t>
                  </w:r>
                </w:p>
              </w:tc>
              <w:tc>
                <w:tcPr>
                  <w:tcW w:w="1984" w:type="dxa"/>
                  <w:tcBorders>
                    <w:top w:val="single" w:sz="8" w:space="0" w:color="auto"/>
                    <w:left w:val="single" w:sz="8" w:space="0" w:color="auto"/>
                    <w:bottom w:val="single" w:sz="8" w:space="0" w:color="auto"/>
                    <w:right w:val="single" w:sz="8" w:space="0" w:color="auto"/>
                  </w:tcBorders>
                </w:tcPr>
                <w:p w14:paraId="15E8C656" w14:textId="77777777" w:rsidR="00E55C1F" w:rsidRDefault="008E1F26">
                  <w:pPr>
                    <w:ind w:left="720"/>
                    <w:rPr>
                      <w:szCs w:val="24"/>
                    </w:rPr>
                  </w:pPr>
                  <w:r>
                    <w:rPr>
                      <w:szCs w:val="24"/>
                    </w:rPr>
                    <w:t>02</w:t>
                  </w:r>
                </w:p>
              </w:tc>
              <w:tc>
                <w:tcPr>
                  <w:tcW w:w="3827" w:type="dxa"/>
                  <w:tcBorders>
                    <w:top w:val="single" w:sz="8" w:space="0" w:color="auto"/>
                    <w:left w:val="single" w:sz="8" w:space="0" w:color="auto"/>
                    <w:bottom w:val="single" w:sz="8" w:space="0" w:color="auto"/>
                    <w:right w:val="single" w:sz="8" w:space="0" w:color="auto"/>
                  </w:tcBorders>
                </w:tcPr>
                <w:p w14:paraId="1E0D7DAD" w14:textId="77777777" w:rsidR="00E55C1F" w:rsidRDefault="008E1F26">
                  <w:pPr>
                    <w:jc w:val="both"/>
                    <w:rPr>
                      <w:i/>
                      <w:iCs/>
                      <w:sz w:val="20"/>
                    </w:rPr>
                  </w:pPr>
                  <w:r>
                    <w:rPr>
                      <w:szCs w:val="24"/>
                    </w:rPr>
                    <w:t>Įgyvendintų privalomų matomumo ir informavimo apie Europos Sąjungos fondų investicijų veiklas priemonių fiksuotoji suma, pirmojo rinkinio fiksuotoji suma be PVM</w:t>
                  </w:r>
                </w:p>
              </w:tc>
              <w:tc>
                <w:tcPr>
                  <w:tcW w:w="4220" w:type="dxa"/>
                  <w:tcBorders>
                    <w:top w:val="single" w:sz="8" w:space="0" w:color="auto"/>
                    <w:left w:val="single" w:sz="8" w:space="0" w:color="auto"/>
                    <w:bottom w:val="single" w:sz="8" w:space="0" w:color="auto"/>
                    <w:right w:val="single" w:sz="8" w:space="0" w:color="auto"/>
                  </w:tcBorders>
                </w:tcPr>
                <w:p w14:paraId="069B24AD" w14:textId="77777777" w:rsidR="00E55C1F" w:rsidRDefault="008E1F26">
                  <w:pPr>
                    <w:jc w:val="both"/>
                    <w:rPr>
                      <w:szCs w:val="24"/>
                    </w:rPr>
                  </w:pPr>
                  <w:r>
                    <w:rPr>
                      <w:szCs w:val="24"/>
                    </w:rPr>
                    <w:t>Fiksuotąją sumą sudaro visų antrojo privalomų matomumo ir informavimo priemonių rinkinio išlaidos, kai:</w:t>
                  </w:r>
                </w:p>
                <w:p w14:paraId="08DAB7A0" w14:textId="77777777" w:rsidR="00E55C1F" w:rsidRDefault="008E1F26">
                  <w:pPr>
                    <w:pBdr>
                      <w:right w:val="single" w:sz="4" w:space="4" w:color="auto"/>
                    </w:pBdr>
                    <w:jc w:val="both"/>
                    <w:rPr>
                      <w:szCs w:val="24"/>
                    </w:rPr>
                  </w:pPr>
                  <w:r>
                    <w:rPr>
                      <w:szCs w:val="24"/>
                    </w:rPr>
                    <w:t xml:space="preserve">a) projekto įgyvendinimo pradžioje projekto vykdytojo oficialioje interneto svetainėje, jei tokia yra, ir socialinės </w:t>
                  </w:r>
                  <w:r>
                    <w:rPr>
                      <w:szCs w:val="24"/>
                    </w:rPr>
                    <w:lastRenderedPageBreak/>
                    <w:t>žiniasklaidos svetainėse paskelbiamas trumpas veiksmo, įskaitant jo tikslus ir rezultatus, aprašymas, proporcingas paramos dydžiui, ir informacija apie finansinę paramą, gaunamą iš Europos Sąjungos;</w:t>
                  </w:r>
                </w:p>
                <w:p w14:paraId="49C32022" w14:textId="77777777" w:rsidR="00E55C1F" w:rsidRDefault="008E1F26">
                  <w:pPr>
                    <w:jc w:val="both"/>
                  </w:pPr>
                  <w:r>
                    <w:t>b) įgyvendinimo pradžioje visuomenei gerai matomoje vietoje pakabintas bent vienas ne mažesnio nei A3 formato spausdintas skelbimas (plakatas) arba elektroniniame ekrane paskelbtas lygiavertis pranešimas, kuriame turi būti pateikta informacija apie veiksmą akcentuojant iš Europos Sąjungos gaunamą finansinę paramą;</w:t>
                  </w:r>
                </w:p>
                <w:p w14:paraId="5DB49C3B" w14:textId="77777777" w:rsidR="00E55C1F" w:rsidRDefault="008E1F26">
                  <w:pPr>
                    <w:jc w:val="both"/>
                  </w:pPr>
                  <w:r>
                    <w:t>c) visuomenei arba dalyviams skirtuose dokumentuose ir komunikacijos medžiagoje, susijusioje su veiksmo įgyvendinimu, pateikiamas gerai matomas pareiškimas, kuriame akcentuojama gaunama Europos Sąjungos parama.</w:t>
                  </w:r>
                </w:p>
                <w:p w14:paraId="74DA6224" w14:textId="77777777" w:rsidR="00E55C1F" w:rsidRDefault="008E1F26">
                  <w:pPr>
                    <w:jc w:val="both"/>
                    <w:rPr>
                      <w:i/>
                      <w:iCs/>
                      <w:sz w:val="20"/>
                    </w:rPr>
                  </w:pPr>
                  <w:r>
                    <w:rPr>
                      <w:color w:val="000000"/>
                    </w:rPr>
                    <w:t>Fiksuotosios sumos skelbiamos svetainėje esinvesticijos.lt.</w:t>
                  </w:r>
                </w:p>
              </w:tc>
            </w:tr>
          </w:tbl>
          <w:p w14:paraId="413F59CE" w14:textId="77777777" w:rsidR="00E55C1F" w:rsidRDefault="00E55C1F">
            <w:pPr>
              <w:jc w:val="both"/>
              <w:rPr>
                <w:i/>
                <w:iCs/>
                <w:sz w:val="22"/>
                <w:szCs w:val="22"/>
              </w:rPr>
            </w:pPr>
          </w:p>
        </w:tc>
      </w:tr>
    </w:tbl>
    <w:p w14:paraId="5B019797" w14:textId="77777777" w:rsidR="00E55C1F" w:rsidRDefault="00E55C1F">
      <w:pPr>
        <w:rPr>
          <w:sz w:val="18"/>
          <w:szCs w:val="18"/>
        </w:rPr>
      </w:pPr>
    </w:p>
    <w:p w14:paraId="67216DD2" w14:textId="77777777" w:rsidR="00E55C1F" w:rsidRDefault="008E1F26">
      <w:pPr>
        <w:spacing w:line="276" w:lineRule="auto"/>
        <w:jc w:val="center"/>
        <w:rPr>
          <w:rFonts w:eastAsia="Calibri"/>
          <w:szCs w:val="24"/>
        </w:rPr>
      </w:pPr>
      <w:r>
        <w:rPr>
          <w:rFonts w:eastAsia="Calibri"/>
          <w:szCs w:val="24"/>
        </w:rPr>
        <w:t>________________</w:t>
      </w:r>
    </w:p>
    <w:p w14:paraId="087EF5B2" w14:textId="77777777" w:rsidR="00E55C1F" w:rsidRDefault="00E55C1F">
      <w:pPr>
        <w:rPr>
          <w:szCs w:val="24"/>
        </w:rPr>
      </w:pPr>
    </w:p>
    <w:p w14:paraId="09A4706E" w14:textId="77777777" w:rsidR="00E55C1F" w:rsidRDefault="00E55C1F">
      <w:pPr>
        <w:ind w:left="10206"/>
        <w:jc w:val="both"/>
        <w:sectPr w:rsidR="00E55C1F">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851" w:left="1134" w:header="567" w:footer="567" w:gutter="0"/>
          <w:pgNumType w:start="1"/>
          <w:cols w:space="1296"/>
          <w:titlePg/>
          <w:docGrid w:linePitch="360"/>
        </w:sectPr>
      </w:pPr>
    </w:p>
    <w:p w14:paraId="0479D95F" w14:textId="77777777" w:rsidR="00E55C1F" w:rsidRDefault="00E55C1F">
      <w:pPr>
        <w:tabs>
          <w:tab w:val="center" w:pos="4680"/>
          <w:tab w:val="right" w:pos="9360"/>
        </w:tabs>
        <w:rPr>
          <w:sz w:val="22"/>
          <w:szCs w:val="22"/>
          <w:lang w:eastAsia="lt-LT"/>
        </w:rPr>
      </w:pPr>
    </w:p>
    <w:p w14:paraId="5194C7D6" w14:textId="77777777" w:rsidR="00E55C1F" w:rsidRDefault="008E1F26">
      <w:pPr>
        <w:suppressAutoHyphens/>
        <w:ind w:left="9781"/>
        <w:jc w:val="both"/>
        <w:textAlignment w:val="baseline"/>
        <w:rPr>
          <w:szCs w:val="24"/>
        </w:rPr>
      </w:pPr>
      <w:r>
        <w:rPr>
          <w:szCs w:val="24"/>
        </w:rPr>
        <w:t xml:space="preserve">2022–2030 metų plėtros programos valdytojos Lietuvos Respublikos susisiekimo ministerijos susisiekimo plėtros programos pažangos priemonės </w:t>
      </w:r>
      <w:r>
        <w:rPr>
          <w:color w:val="000000"/>
          <w:szCs w:val="24"/>
          <w:lang w:eastAsia="en-GB"/>
        </w:rPr>
        <w:t>Nr. 10-001-06-01-01 „Skatinti alternatyviųjų degalų naudojimą transporto sektoriuje“ veiklos „</w:t>
      </w:r>
      <w:r>
        <w:rPr>
          <w:szCs w:val="24"/>
        </w:rPr>
        <w:t>Miesto ir priemiestinio viešojo transporto priemonių parko atnaujinimas, skatinant naudoti visai netaršias transporto priemones“ projektų finansavimo sąlygų aprašo Nr. 2</w:t>
      </w:r>
    </w:p>
    <w:p w14:paraId="53C32AAB" w14:textId="77777777" w:rsidR="00E55C1F" w:rsidRDefault="008E1F26">
      <w:pPr>
        <w:ind w:left="9781"/>
        <w:jc w:val="both"/>
        <w:rPr>
          <w:szCs w:val="24"/>
        </w:rPr>
      </w:pPr>
      <w:r>
        <w:rPr>
          <w:szCs w:val="24"/>
        </w:rPr>
        <w:t>1 priedas</w:t>
      </w:r>
    </w:p>
    <w:p w14:paraId="0148B85E" w14:textId="77777777" w:rsidR="00E55C1F" w:rsidRDefault="00E55C1F">
      <w:pPr>
        <w:jc w:val="center"/>
        <w:rPr>
          <w:rFonts w:eastAsia="Calibri"/>
          <w:b/>
          <w:bCs/>
          <w:szCs w:val="24"/>
        </w:rPr>
      </w:pPr>
    </w:p>
    <w:p w14:paraId="5DD5A43F" w14:textId="77777777" w:rsidR="00E55C1F" w:rsidRDefault="008E1F26">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80AE445" w14:textId="77777777" w:rsidR="00E55C1F" w:rsidRDefault="00E55C1F">
      <w:pPr>
        <w:jc w:val="center"/>
        <w:rPr>
          <w:rFonts w:eastAsia="Calibri"/>
          <w:b/>
          <w:bCs/>
          <w:szCs w:val="24"/>
        </w:rPr>
      </w:pPr>
    </w:p>
    <w:p w14:paraId="04E41924" w14:textId="77777777" w:rsidR="00E55C1F" w:rsidRDefault="008E1F26">
      <w:pPr>
        <w:rPr>
          <w:rFonts w:eastAsia="Calibri"/>
          <w:b/>
          <w:bCs/>
          <w:szCs w:val="24"/>
        </w:rPr>
      </w:pPr>
      <w:r>
        <w:rPr>
          <w:rFonts w:eastAsia="Calibri"/>
          <w:bCs/>
          <w:szCs w:val="24"/>
        </w:rPr>
        <w:t>Finansavimo šaltinis, pagal kurį finansuojamas projektas:</w:t>
      </w:r>
    </w:p>
    <w:p w14:paraId="3DA52709" w14:textId="77777777" w:rsidR="00E55C1F" w:rsidRDefault="008E1F26">
      <w:pPr>
        <w:spacing w:line="276" w:lineRule="auto"/>
        <w:jc w:val="both"/>
        <w:rPr>
          <w:rFonts w:eastAsia="Calibri"/>
          <w:bCs/>
          <w:szCs w:val="24"/>
        </w:rPr>
      </w:pPr>
      <w:r>
        <w:t xml:space="preserve">x </w:t>
      </w:r>
      <w:r>
        <w:rPr>
          <w:rFonts w:eastAsia="Calibri"/>
          <w:bCs/>
          <w:szCs w:val="24"/>
        </w:rPr>
        <w:t>Ekonomikos gaivinimo ir atsparumo didinimo priemonė</w:t>
      </w:r>
    </w:p>
    <w:p w14:paraId="03D75D83" w14:textId="77777777" w:rsidR="00E55C1F" w:rsidRDefault="008E1F26">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46"/>
        <w:gridCol w:w="4784"/>
      </w:tblGrid>
      <w:tr w:rsidR="00E55C1F" w14:paraId="26818C7A" w14:textId="77777777">
        <w:tc>
          <w:tcPr>
            <w:tcW w:w="3119" w:type="dxa"/>
          </w:tcPr>
          <w:p w14:paraId="782B2AE0" w14:textId="77777777" w:rsidR="00E55C1F" w:rsidRDefault="008E1F26">
            <w:pPr>
              <w:ind w:right="227"/>
              <w:jc w:val="center"/>
              <w:rPr>
                <w:rFonts w:eastAsia="Calibri"/>
                <w:b/>
                <w:szCs w:val="24"/>
              </w:rPr>
            </w:pPr>
            <w:r>
              <w:rPr>
                <w:rFonts w:eastAsia="Calibri"/>
                <w:b/>
                <w:szCs w:val="24"/>
              </w:rPr>
              <w:t>Aplinkos tikslai</w:t>
            </w:r>
          </w:p>
        </w:tc>
        <w:tc>
          <w:tcPr>
            <w:tcW w:w="6946" w:type="dxa"/>
          </w:tcPr>
          <w:p w14:paraId="2B18CDBC" w14:textId="77777777" w:rsidR="00E55C1F" w:rsidRDefault="008E1F26">
            <w:pPr>
              <w:jc w:val="center"/>
              <w:rPr>
                <w:rFonts w:eastAsia="Calibri"/>
                <w:b/>
                <w:szCs w:val="24"/>
              </w:rPr>
            </w:pPr>
            <w:r>
              <w:rPr>
                <w:rFonts w:eastAsia="Calibri"/>
                <w:b/>
                <w:szCs w:val="24"/>
              </w:rPr>
              <w:t>Pagrindimas</w:t>
            </w:r>
          </w:p>
        </w:tc>
        <w:tc>
          <w:tcPr>
            <w:tcW w:w="4784" w:type="dxa"/>
          </w:tcPr>
          <w:p w14:paraId="71997099" w14:textId="77777777" w:rsidR="00E55C1F" w:rsidRDefault="008E1F26">
            <w:pPr>
              <w:jc w:val="center"/>
              <w:rPr>
                <w:rFonts w:eastAsia="Calibri"/>
                <w:i/>
                <w:szCs w:val="24"/>
              </w:rPr>
            </w:pPr>
            <w:r>
              <w:rPr>
                <w:rFonts w:eastAsia="Calibri"/>
                <w:b/>
                <w:szCs w:val="24"/>
              </w:rPr>
              <w:t>Pagrindimo dokumentai</w:t>
            </w:r>
            <w:r>
              <w:rPr>
                <w:rFonts w:eastAsia="Calibri"/>
                <w:b/>
                <w:szCs w:val="24"/>
              </w:rPr>
              <w:br/>
            </w:r>
            <w:r>
              <w:rPr>
                <w:i/>
                <w:iCs/>
                <w:szCs w:val="24"/>
              </w:rPr>
              <w:t>(pildo pareiškėjas, nurodydamas konkrečius su projektų įgyvendinimo planu teikiamus dokumentus)</w:t>
            </w:r>
          </w:p>
        </w:tc>
      </w:tr>
      <w:tr w:rsidR="00E55C1F" w14:paraId="752535FF" w14:textId="77777777">
        <w:tc>
          <w:tcPr>
            <w:tcW w:w="3119" w:type="dxa"/>
          </w:tcPr>
          <w:p w14:paraId="52F6F791" w14:textId="77777777" w:rsidR="00E55C1F" w:rsidRDefault="008E1F26">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946" w:type="dxa"/>
          </w:tcPr>
          <w:p w14:paraId="678447F2" w14:textId="77777777" w:rsidR="00E55C1F" w:rsidRDefault="008E1F26">
            <w:pPr>
              <w:jc w:val="both"/>
              <w:rPr>
                <w:szCs w:val="24"/>
              </w:rPr>
            </w:pPr>
            <w:r>
              <w:rPr>
                <w:szCs w:val="24"/>
              </w:rPr>
              <w:t>Vertinama, kad veikla „Miesto ir priemiestinio viešojo transporto priemonių parko atnaujinimas, skatinant naudoti visai netaršias transporto priemones“ 100 procentų prisidedama prie klimato kaitos švelninimo.</w:t>
            </w:r>
          </w:p>
          <w:p w14:paraId="58C8F9B0" w14:textId="77777777" w:rsidR="00E55C1F" w:rsidRDefault="008E1F26">
            <w:pPr>
              <w:jc w:val="both"/>
              <w:rPr>
                <w:szCs w:val="24"/>
              </w:rPr>
            </w:pPr>
            <w:r>
              <w:rPr>
                <w:szCs w:val="24"/>
              </w:rPr>
              <w:t xml:space="preserve">Vadovaujantis </w:t>
            </w:r>
            <w:r>
              <w:rPr>
                <w:color w:val="000000"/>
                <w:szCs w:val="24"/>
                <w:lang w:eastAsia="lt-LT"/>
              </w:rPr>
              <w:t xml:space="preserve">2021 m. vasario 12 d. Europos Parlamento ir Tarybos </w:t>
            </w:r>
            <w:r>
              <w:rPr>
                <w:color w:val="000000"/>
                <w:lang w:eastAsia="lt-LT"/>
              </w:rPr>
              <w:t>reglamento</w:t>
            </w:r>
            <w:r>
              <w:rPr>
                <w:szCs w:val="24"/>
              </w:rPr>
              <w:t xml:space="preserve"> (ES) 2021/241,</w:t>
            </w:r>
            <w:r>
              <w:rPr>
                <w:color w:val="000000"/>
                <w:szCs w:val="24"/>
                <w:lang w:eastAsia="lt-LT"/>
              </w:rPr>
              <w:t xml:space="preserve"> kuriuo nustatoma ekonomikos gaivinimo ir atsparumo didinimo priemonė,</w:t>
            </w:r>
            <w:r>
              <w:rPr>
                <w:szCs w:val="24"/>
              </w:rPr>
              <w:t xml:space="preserve"> VI priedo klasifikatoriumi taikomas 100 procentų paramos, siekiant su klimato kaita susijusių tikslų, skaičiavimo koeficientas (074).</w:t>
            </w:r>
          </w:p>
          <w:p w14:paraId="311FA88F" w14:textId="77777777" w:rsidR="00E55C1F" w:rsidRDefault="008E1F26">
            <w:pPr>
              <w:jc w:val="both"/>
              <w:rPr>
                <w:bCs/>
                <w:szCs w:val="24"/>
              </w:rPr>
            </w:pPr>
            <w:r>
              <w:rPr>
                <w:rFonts w:eastAsia="Calibri"/>
                <w:iCs/>
                <w:szCs w:val="24"/>
              </w:rPr>
              <w:t>Šia investicija svariai prisidedama mažinant šilumos efektą sukeliančių dujų (ŠESD) emisijas, didinant švaraus ar neutralaus poveikio klimatui transporto priemonių judumą, nes planuojama įsigyti visai netaršių (elektra varomų arba vandeniliu pildomų) transporto priemonių keleiviams vežti miestuose arba priemiesčiuose.</w:t>
            </w:r>
            <w:r>
              <w:rPr>
                <w:bCs/>
                <w:szCs w:val="24"/>
              </w:rPr>
              <w:t xml:space="preserve"> Planuojama remti </w:t>
            </w:r>
            <w:r>
              <w:rPr>
                <w:bCs/>
                <w:szCs w:val="24"/>
              </w:rPr>
              <w:lastRenderedPageBreak/>
              <w:t>visai netaršių transporto priemonių įsigijimą kartu sukuriant joms reikalingą įkrovimo / pildymo infrastruktūrą; didinti viešojo transporto patrauklumą gyventojams, skatinant kelionę nuosavu automobiliu keisti kelione viešuoju transportu.</w:t>
            </w:r>
          </w:p>
          <w:p w14:paraId="269244B3" w14:textId="77777777" w:rsidR="00E55C1F" w:rsidRDefault="008E1F26">
            <w:pPr>
              <w:jc w:val="both"/>
              <w:rPr>
                <w:bCs/>
                <w:szCs w:val="24"/>
              </w:rPr>
            </w:pPr>
            <w:r>
              <w:rPr>
                <w:szCs w:val="24"/>
              </w:rPr>
              <w:t>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II priedo 6.3 papunkčio „Miesto ir priemiestinis transportas, keleivinis kelių transportas“ 1 dalimi „Klimato kaitos švelninimas“ aplinkos tikslas netaikomas.</w:t>
            </w:r>
          </w:p>
        </w:tc>
        <w:tc>
          <w:tcPr>
            <w:tcW w:w="4784" w:type="dxa"/>
          </w:tcPr>
          <w:p w14:paraId="54625D32" w14:textId="77777777" w:rsidR="00E55C1F" w:rsidRDefault="008E1F26">
            <w:pPr>
              <w:tabs>
                <w:tab w:val="left" w:pos="589"/>
              </w:tabs>
              <w:jc w:val="both"/>
              <w:rPr>
                <w:szCs w:val="24"/>
              </w:rPr>
            </w:pPr>
            <w:r>
              <w:rPr>
                <w:szCs w:val="24"/>
              </w:rPr>
              <w:lastRenderedPageBreak/>
              <w:t>Pagrindimo dokumentai neteikiami.</w:t>
            </w:r>
          </w:p>
          <w:p w14:paraId="5C9E1CA8" w14:textId="77777777" w:rsidR="00E55C1F" w:rsidRDefault="00E55C1F">
            <w:pPr>
              <w:tabs>
                <w:tab w:val="left" w:pos="589"/>
              </w:tabs>
              <w:jc w:val="both"/>
              <w:rPr>
                <w:szCs w:val="24"/>
              </w:rPr>
            </w:pPr>
          </w:p>
          <w:p w14:paraId="38BE3C89" w14:textId="77777777" w:rsidR="00E55C1F" w:rsidRDefault="008E1F26">
            <w:pPr>
              <w:tabs>
                <w:tab w:val="left" w:pos="589"/>
              </w:tabs>
              <w:jc w:val="both"/>
              <w:rPr>
                <w:szCs w:val="24"/>
              </w:rPr>
            </w:pPr>
            <w:r>
              <w:rPr>
                <w:szCs w:val="24"/>
              </w:rPr>
              <w:t xml:space="preserve">Kartu su mokėjimo prašymu projekto vykdytojas teiks 2022–2030 metų plėtros programos valdytojos Lietuvos Respublikos susisiekimo ministerijos susisiekimo plėtros programos pažangos priemonės Nr. 10-001-06-01-01 „Skatinti alternatyviųjų degalų naudojimą transporto sektoriuje“ veiklos „Miesto ir priemiestinio viešojo transporto priemonių parko atnaujinimas, skatinant naudoti visai netaršias transporto priemones“ projektų finansavimo sąlygų apraše Nr. 2 (toliau – Aprašas) ir (arba) kvietime teikti projektų </w:t>
            </w:r>
            <w:r>
              <w:rPr>
                <w:szCs w:val="24"/>
              </w:rPr>
              <w:lastRenderedPageBreak/>
              <w:t>įgyvendinimo planus (toliau – PĮP) nurodytus visai netaršių transporto priemonių keleiviams vežti miestuose arba priemiesčiuose įsigijimą įrodančius dokumentus.</w:t>
            </w:r>
          </w:p>
        </w:tc>
      </w:tr>
      <w:tr w:rsidR="00E55C1F" w14:paraId="56F4FD12" w14:textId="77777777">
        <w:tc>
          <w:tcPr>
            <w:tcW w:w="3119" w:type="dxa"/>
          </w:tcPr>
          <w:p w14:paraId="2F957CDC" w14:textId="77777777" w:rsidR="00E55C1F" w:rsidRDefault="008E1F26">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946" w:type="dxa"/>
          </w:tcPr>
          <w:p w14:paraId="14E3DC44" w14:textId="77777777" w:rsidR="00E55C1F" w:rsidRDefault="008E1F26">
            <w:pPr>
              <w:jc w:val="both"/>
              <w:rPr>
                <w:szCs w:val="24"/>
              </w:rPr>
            </w:pPr>
            <w:r>
              <w:rPr>
                <w:szCs w:val="24"/>
              </w:rPr>
              <w:t>Vertinama, kad planuojama įgyvendinti veikla „Miesto ir priemiestinio viešojo transporto priemonių parko atnaujinimas, skatinant naudoti visai netaršias transporto priemones“ neturi jokio numatomo poveikio šiam aplinkos tikslui arba numatomas jos poveikis yra nereikšmingas, t. y. nedaro tiesioginio ir pirminio netiesioginio poveikio per visą gyvavimo ciklą, todėl laikoma, kad investicijos atitinka prisitaikymo prie klimato kaitos tikslą.</w:t>
            </w:r>
          </w:p>
          <w:p w14:paraId="0485D61A" w14:textId="77777777" w:rsidR="00E55C1F" w:rsidRDefault="008E1F26">
            <w:pPr>
              <w:jc w:val="both"/>
              <w:rPr>
                <w:szCs w:val="24"/>
              </w:rPr>
            </w:pPr>
            <w:r>
              <w:rPr>
                <w:szCs w:val="24"/>
              </w:rPr>
              <w:t>Planuojamos investicijos</w:t>
            </w:r>
            <w:r>
              <w:t xml:space="preserve"> į</w:t>
            </w:r>
            <w:r>
              <w:rPr>
                <w:szCs w:val="24"/>
              </w:rPr>
              <w:t xml:space="preserve"> visai netaršių transporto priemonių keleiviams vežti miestuose arba priemiesčiuose įsigijimą neturės neigiamos įtakos prisitaikymo prie klimato kaitos pastangoms ar atsparumui žmonių, gamtos, turto ir kitos ekonominės veiklos rizikai ir yra suderintos su vietos, sektoriaus ir šalies prisitaikymo pastangomis, nes neplanuojama kurti jokios infrastruktūros potvynių zonoje.</w:t>
            </w:r>
          </w:p>
          <w:p w14:paraId="1D735C2B" w14:textId="77777777" w:rsidR="00E55C1F" w:rsidRDefault="008E1F26">
            <w:pPr>
              <w:jc w:val="both"/>
            </w:pPr>
            <w:r>
              <w:rPr>
                <w:szCs w:val="24"/>
              </w:rPr>
              <w:t>Projekto finansuojama veikla ir rezultatas – įsigytos ir keleivių vežimo paslaugas teikiančios visai netaršios transporto priemonės</w:t>
            </w:r>
            <w:r>
              <w:rPr>
                <w:rFonts w:eastAsia="Calibri"/>
                <w:iCs/>
                <w:szCs w:val="24"/>
              </w:rPr>
              <w:t xml:space="preserve"> </w:t>
            </w:r>
            <w:r>
              <w:rPr>
                <w:iCs/>
                <w:szCs w:val="24"/>
              </w:rPr>
              <w:t>neturės tiesioginio ar netiesioginio neigiamo poveikio prisitaikymo prie klimato kaitos tikslui, nes nenumatomas neigiamas poveikis žmonėms, gamtai ar turtui.</w:t>
            </w:r>
          </w:p>
        </w:tc>
        <w:tc>
          <w:tcPr>
            <w:tcW w:w="4784" w:type="dxa"/>
          </w:tcPr>
          <w:p w14:paraId="6DA3A45A" w14:textId="77777777" w:rsidR="00E55C1F" w:rsidRDefault="008E1F26">
            <w:pPr>
              <w:tabs>
                <w:tab w:val="left" w:pos="589"/>
              </w:tabs>
              <w:jc w:val="both"/>
              <w:rPr>
                <w:szCs w:val="24"/>
              </w:rPr>
            </w:pPr>
            <w:r>
              <w:rPr>
                <w:szCs w:val="24"/>
              </w:rPr>
              <w:t>Pagrindimo dokumentai neteikiami.</w:t>
            </w:r>
          </w:p>
          <w:p w14:paraId="39E4FC85" w14:textId="77777777" w:rsidR="00E55C1F" w:rsidRDefault="00E55C1F">
            <w:pPr>
              <w:tabs>
                <w:tab w:val="left" w:pos="589"/>
              </w:tabs>
              <w:jc w:val="both"/>
              <w:rPr>
                <w:szCs w:val="24"/>
              </w:rPr>
            </w:pPr>
          </w:p>
          <w:p w14:paraId="20B83C7B" w14:textId="77777777" w:rsidR="00E55C1F" w:rsidRDefault="008E1F26">
            <w:pPr>
              <w:tabs>
                <w:tab w:val="left" w:pos="589"/>
              </w:tabs>
              <w:jc w:val="both"/>
              <w:rPr>
                <w:iCs/>
                <w:szCs w:val="24"/>
              </w:rPr>
            </w:pPr>
            <w:r>
              <w:rPr>
                <w:szCs w:val="24"/>
              </w:rPr>
              <w:t xml:space="preserve">Kartu su mokėjimo prašymu projekto vykdytojas teiks </w:t>
            </w:r>
            <w:r>
              <w:t>Apraše</w:t>
            </w:r>
            <w:r>
              <w:rPr>
                <w:szCs w:val="24"/>
              </w:rPr>
              <w:t xml:space="preserve"> ir (arba) kvietime teikti PĮP nurodytus</w:t>
            </w:r>
            <w:r>
              <w:rPr>
                <w:rFonts w:eastAsia="Calibri"/>
                <w:iCs/>
                <w:szCs w:val="24"/>
              </w:rPr>
              <w:t xml:space="preserve"> visai netaršių transporto priemonių keleiviams vežti miestuose arba priemiesčiuose įsigijimą</w:t>
            </w:r>
            <w:r>
              <w:rPr>
                <w:szCs w:val="24"/>
              </w:rPr>
              <w:t xml:space="preserve"> įrodančius dokumentus.</w:t>
            </w:r>
          </w:p>
        </w:tc>
      </w:tr>
      <w:tr w:rsidR="00E55C1F" w14:paraId="7DF13E45" w14:textId="77777777">
        <w:tc>
          <w:tcPr>
            <w:tcW w:w="3119" w:type="dxa"/>
          </w:tcPr>
          <w:p w14:paraId="0F9D72D5" w14:textId="77777777" w:rsidR="00E55C1F" w:rsidRDefault="008E1F26">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946" w:type="dxa"/>
          </w:tcPr>
          <w:p w14:paraId="264B204F" w14:textId="77777777" w:rsidR="00E55C1F" w:rsidRDefault="008E1F26">
            <w:pPr>
              <w:jc w:val="both"/>
              <w:rPr>
                <w:bCs/>
                <w:szCs w:val="24"/>
              </w:rPr>
            </w:pPr>
            <w:r>
              <w:rPr>
                <w:bCs/>
                <w:szCs w:val="24"/>
              </w:rPr>
              <w:t>Vertinama, kad planuojama įgyvendinti veikla „</w:t>
            </w:r>
            <w:r>
              <w:rPr>
                <w:szCs w:val="24"/>
              </w:rPr>
              <w:t>Miesto ir priemiestinio viešojo transporto priemonių parko atnaujinimas, skatinant naudoti visai netaršias transporto priemones</w:t>
            </w:r>
            <w:r>
              <w:rPr>
                <w:bCs/>
                <w:szCs w:val="24"/>
              </w:rPr>
              <w:t xml:space="preserve">“ neturi jokio numatomo poveikio </w:t>
            </w:r>
            <w:r>
              <w:rPr>
                <w:bCs/>
                <w:szCs w:val="24"/>
              </w:rPr>
              <w:lastRenderedPageBreak/>
              <w:t>šiam aplinkos tikslui arba numatomas jos poveikis yra nereikšmingas, t. y. nedaro tiesioginio ir pirminio netiesioginio poveikio per visą gyvavimo ciklą, todėl laikoma, kad investicijos atitinka tausaus vandens ir jūrų išteklių naudojimo ir apsaugos tikslą.</w:t>
            </w:r>
          </w:p>
          <w:p w14:paraId="2B2342C1" w14:textId="77777777" w:rsidR="00E55C1F" w:rsidRDefault="008E1F26">
            <w:pPr>
              <w:tabs>
                <w:tab w:val="left" w:pos="34"/>
              </w:tabs>
              <w:ind w:left="51"/>
              <w:jc w:val="both"/>
              <w:rPr>
                <w:szCs w:val="24"/>
              </w:rPr>
            </w:pPr>
            <w:r>
              <w:rPr>
                <w:szCs w:val="24"/>
              </w:rPr>
              <w:t>Planuojamos investicijos į visai netaršių transporto priemonių keleiviams vežti miestuose arba priemiesčiuose įsigijimą neturės jokio neigiamo tiesioginio ar netiesioginio poveikio tausaus vandens ir jūrų išteklių naudojimo ir apsaugos tikslui, nes neplanuojama statyti jokios infrastruktūros vandens telkinių apsaugos zonose ir neplanuojama kurti būsimos infrastruktūros arti vandens telkinių, kas galėtų turėti neigiamą poveikį tausaus vandens ir jūrų išteklių naudojimui.</w:t>
            </w:r>
          </w:p>
          <w:p w14:paraId="02C4A79B" w14:textId="77777777" w:rsidR="00E55C1F" w:rsidRDefault="008E1F26">
            <w:pPr>
              <w:tabs>
                <w:tab w:val="left" w:pos="34"/>
              </w:tabs>
              <w:ind w:left="51"/>
              <w:jc w:val="both"/>
              <w:rPr>
                <w:szCs w:val="24"/>
              </w:rPr>
            </w:pPr>
            <w:r>
              <w:rPr>
                <w:szCs w:val="24"/>
              </w:rPr>
              <w:t xml:space="preserve">Tuo atveju, kai pagal Aprašą finansuojama </w:t>
            </w:r>
            <w:r>
              <w:rPr>
                <w:szCs w:val="24"/>
                <w:shd w:val="clear" w:color="auto" w:fill="FFFFFF"/>
              </w:rPr>
              <w:t xml:space="preserve">įsigyjamoms visiškai netaršioms transporto priemonėms įkrauti / pildyti būtina </w:t>
            </w:r>
            <w:r>
              <w:rPr>
                <w:szCs w:val="24"/>
              </w:rPr>
              <w:t xml:space="preserve">infrastruktūra, pagal 2011 m. gruodžio 13 d. Europos Parlamento ir Tarybos direktyvą 2011/92/ES dėl tam tikrų valstybės ir privačių projektų poveikio aplinkai vertinimo su paskutiniais pakeitimais, padarytais 2014 m. balandžio 16 d. Europos Parlamento ir Tarybos direktyva 2014/52/ES, bus atliktas poveikio aplinkai vertinimas (toliau </w:t>
            </w:r>
            <w:r>
              <w:rPr>
                <w:szCs w:val="24"/>
                <w:lang w:eastAsia="lt-LT"/>
              </w:rPr>
              <w:t>–</w:t>
            </w:r>
            <w:r>
              <w:rPr>
                <w:szCs w:val="24"/>
              </w:rPr>
              <w:t xml:space="preserve"> PAV) arba analizė (p</w:t>
            </w:r>
            <w:r>
              <w:rPr>
                <w:color w:val="000000"/>
                <w:szCs w:val="24"/>
              </w:rPr>
              <w:t xml:space="preserve">rocedūra, pagal kurią kompetentinga institucija nustato, ar turi būti atliekamas Direktyvos 2011/92/ES II priede išvardytų projektų </w:t>
            </w:r>
            <w:r>
              <w:rPr>
                <w:szCs w:val="24"/>
              </w:rPr>
              <w:t>PAV</w:t>
            </w:r>
            <w:r>
              <w:rPr>
                <w:color w:val="000000"/>
                <w:szCs w:val="24"/>
              </w:rPr>
              <w:t xml:space="preserve"> (kaip nurodyta Direktyvos 2011/92/ES 4 straipsnio 2 dalyje).</w:t>
            </w:r>
            <w:r>
              <w:rPr>
                <w:szCs w:val="24"/>
              </w:rPr>
              <w:t xml:space="preserve"> Jei bus atliktas PAV, nustatyti neatitikimai ar rizikos dėl žalos padarymo vandens ištekliams turės būti nedelsiant pašalinami.</w:t>
            </w:r>
          </w:p>
        </w:tc>
        <w:tc>
          <w:tcPr>
            <w:tcW w:w="4784" w:type="dxa"/>
          </w:tcPr>
          <w:p w14:paraId="4D5E8F58" w14:textId="77777777" w:rsidR="00E55C1F" w:rsidRDefault="008E1F26">
            <w:pPr>
              <w:tabs>
                <w:tab w:val="left" w:pos="556"/>
              </w:tabs>
              <w:ind w:left="35" w:firstLine="24"/>
              <w:jc w:val="both"/>
              <w:rPr>
                <w:i/>
                <w:iCs/>
                <w:szCs w:val="24"/>
              </w:rPr>
            </w:pPr>
            <w:r>
              <w:rPr>
                <w:rFonts w:eastAsia="Calibri"/>
              </w:rPr>
              <w:lastRenderedPageBreak/>
              <w:t>Vadovaujantis Reglamento (ES) 2021/2139 II priedo 6.3 papunkčio „</w:t>
            </w:r>
            <w:r>
              <w:t>Miesto ir priemiestinis transportas, keleivinis kelių transportas“ 3</w:t>
            </w:r>
            <w:r>
              <w:rPr>
                <w:szCs w:val="24"/>
              </w:rPr>
              <w:t xml:space="preserve"> </w:t>
            </w:r>
            <w:r>
              <w:rPr>
                <w:szCs w:val="24"/>
              </w:rPr>
              <w:lastRenderedPageBreak/>
              <w:t>dalimi „</w:t>
            </w:r>
            <w:r>
              <w:rPr>
                <w:rFonts w:eastAsia="Calibri"/>
                <w:szCs w:val="24"/>
              </w:rPr>
              <w:t>Tausus vandens ir jūrų išteklių naudojimas ir apsauga“</w:t>
            </w:r>
            <w:r>
              <w:rPr>
                <w:szCs w:val="24"/>
              </w:rPr>
              <w:t xml:space="preserve"> aplinkos tikslas netaikomas</w:t>
            </w:r>
            <w:r>
              <w:t xml:space="preserve">. </w:t>
            </w:r>
            <w:r>
              <w:rPr>
                <w:i/>
                <w:iCs/>
                <w:szCs w:val="24"/>
              </w:rPr>
              <w:t xml:space="preserve">Pagrindimo dokumentai neteikiami, jeigu PĮP nenumatytas įsigyjamoms visai netaršioms transporto priemonėms </w:t>
            </w:r>
            <w:r>
              <w:rPr>
                <w:i/>
                <w:iCs/>
                <w:szCs w:val="24"/>
                <w:shd w:val="clear" w:color="auto" w:fill="FFFFFF"/>
              </w:rPr>
              <w:t xml:space="preserve">įkrauti / pildyti būtinos </w:t>
            </w:r>
            <w:r>
              <w:rPr>
                <w:i/>
                <w:iCs/>
                <w:szCs w:val="24"/>
              </w:rPr>
              <w:t>infrastruktūros finansavimas.</w:t>
            </w:r>
          </w:p>
          <w:p w14:paraId="3FADF8FD" w14:textId="77777777" w:rsidR="00E55C1F" w:rsidRDefault="00E55C1F">
            <w:pPr>
              <w:tabs>
                <w:tab w:val="left" w:pos="556"/>
              </w:tabs>
              <w:ind w:left="35" w:firstLine="24"/>
              <w:jc w:val="both"/>
              <w:rPr>
                <w:szCs w:val="24"/>
              </w:rPr>
            </w:pPr>
          </w:p>
          <w:p w14:paraId="1035E079" w14:textId="77777777" w:rsidR="00E55C1F" w:rsidRDefault="008E1F26">
            <w:pPr>
              <w:tabs>
                <w:tab w:val="left" w:pos="556"/>
              </w:tabs>
              <w:ind w:left="35" w:firstLine="24"/>
              <w:jc w:val="both"/>
              <w:rPr>
                <w:rFonts w:eastAsia="Calibri"/>
                <w:bCs/>
                <w:szCs w:val="24"/>
              </w:rPr>
            </w:pPr>
            <w:r>
              <w:rPr>
                <w:bCs/>
                <w:szCs w:val="24"/>
                <w:lang w:eastAsia="lt-LT"/>
              </w:rPr>
              <w:t xml:space="preserve">Pateikiamas </w:t>
            </w:r>
            <w:r>
              <w:t>įsipareigojimas, kad, jeigu, vadovaujantis Lietuvos Respublikos planuojamos ūkinės veiklos poveikio aplinkai vertinimo įstatymu, privaloma atlikti PAV, per 2 mėnesius nuo projekto sutarties pasirašymo pateiks PAV ataskaitą ir turės atsakingos institucijos galiojantį teigiamą sprendimą dėl planuojamos ūkinės veiklos galimybių, arba su PĮP pateikiama galiojanti atrankos išvada, kad PAV neprivalomas, kai pagal Planuojamos ūkinės veiklos poveikio aplinkai vertinimo įstatymo nuostatas turi būti atliktos planuojamos ūkinės PAV procedūros (jei taikoma), arba pateikiamas pagrindimas, kodėl nurodytos procedūros netaikomos</w:t>
            </w:r>
            <w:r>
              <w:rPr>
                <w:i/>
                <w:iCs/>
              </w:rPr>
              <w:t xml:space="preserve"> </w:t>
            </w:r>
            <w:r>
              <w:rPr>
                <w:i/>
                <w:iCs/>
                <w:szCs w:val="24"/>
              </w:rPr>
              <w:t xml:space="preserve">(taikoma, kai pagal Aprašą finansuojama </w:t>
            </w:r>
            <w:r>
              <w:rPr>
                <w:i/>
                <w:iCs/>
                <w:szCs w:val="24"/>
                <w:shd w:val="clear" w:color="auto" w:fill="FFFFFF"/>
              </w:rPr>
              <w:t xml:space="preserve">įsigyjamoms visai netaršioms transporto priemonėms įkrauti / pildyti būtina </w:t>
            </w:r>
            <w:r>
              <w:rPr>
                <w:i/>
                <w:iCs/>
                <w:szCs w:val="24"/>
              </w:rPr>
              <w:t>infrastruktūra).</w:t>
            </w:r>
          </w:p>
        </w:tc>
      </w:tr>
      <w:tr w:rsidR="00E55C1F" w14:paraId="4F513CA6" w14:textId="77777777">
        <w:tc>
          <w:tcPr>
            <w:tcW w:w="3119" w:type="dxa"/>
          </w:tcPr>
          <w:p w14:paraId="2AEEE5BD" w14:textId="77777777" w:rsidR="00E55C1F" w:rsidRDefault="008E1F26">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6946" w:type="dxa"/>
          </w:tcPr>
          <w:p w14:paraId="29F04320" w14:textId="77777777" w:rsidR="00E55C1F" w:rsidRDefault="008E1F26">
            <w:pPr>
              <w:tabs>
                <w:tab w:val="left" w:pos="1245"/>
              </w:tabs>
              <w:jc w:val="both"/>
              <w:rPr>
                <w:bCs/>
                <w:szCs w:val="24"/>
              </w:rPr>
            </w:pPr>
            <w:r>
              <w:rPr>
                <w:bCs/>
                <w:szCs w:val="24"/>
              </w:rPr>
              <w:t xml:space="preserve">Vertinama, kad planuojama įgyvendinti </w:t>
            </w:r>
            <w:r>
              <w:rPr>
                <w:szCs w:val="24"/>
              </w:rPr>
              <w:t xml:space="preserve">veikla „Miesto ir priemiestinio viešojo transporto priemonių parko atnaujinimas, skatinant naudoti visai netaršias transporto priemones“ </w:t>
            </w:r>
            <w:r>
              <w:rPr>
                <w:bCs/>
                <w:szCs w:val="24"/>
              </w:rPr>
              <w:t>neturi jokio numatomo poveikio šiam aplinkos tikslui arba numatomas jos poveikis yra nereikšmingas, t. y. nedaro tiesioginio ir pirminio netiesioginio poveikio per visą gyvavimo ciklą, todėl laikoma, kad investicijos atitinka žiedinės ekonomikos, įskaitant atliekų prevenciją ir perdirbimą, tikslą.</w:t>
            </w:r>
          </w:p>
          <w:p w14:paraId="014BF6B3" w14:textId="77777777" w:rsidR="00E55C1F" w:rsidRDefault="008E1F26">
            <w:pPr>
              <w:jc w:val="both"/>
            </w:pPr>
            <w:r>
              <w:rPr>
                <w:szCs w:val="24"/>
              </w:rPr>
              <w:t xml:space="preserve">Planuojamos investicijos į visai netaršių transporto priemonių keleiviams vežti miestuose arba priemiesčiuose įsigijimą neturės jokio neigiamo tiesioginio ar netiesioginio poveikio žiedinės ekonomikos, </w:t>
            </w:r>
            <w:r>
              <w:rPr>
                <w:szCs w:val="24"/>
              </w:rPr>
              <w:lastRenderedPageBreak/>
              <w:t>įskaitant atliekų prevenciją ir perdirbimą, tikslui, nes įgyvendinant Apraše numatytą veiklą bus t</w:t>
            </w:r>
            <w:r>
              <w:t>aikomos priemonės atliekoms tvarkyti pagal atliekų hierarchiją tiek transporto priemonių parko naudojimo etapu (techninė priežiūra), tiek jo gyvavimo ciklo pabaigoje, be kita ko, pakartotinai naudojant ir perdirbant baterijas ir elektroniką (visų pirma jų svarbiausias žaliavas).</w:t>
            </w:r>
          </w:p>
          <w:p w14:paraId="5A43DCDC" w14:textId="77777777" w:rsidR="00E55C1F" w:rsidRDefault="008E1F26">
            <w:pPr>
              <w:tabs>
                <w:tab w:val="left" w:pos="520"/>
              </w:tabs>
              <w:jc w:val="both"/>
              <w:rPr>
                <w:szCs w:val="24"/>
              </w:rPr>
            </w:pPr>
            <w:r>
              <w:rPr>
                <w:szCs w:val="24"/>
              </w:rPr>
              <w:t xml:space="preserve">Tuo atveju, kai pagal Aprašą finansuojama </w:t>
            </w:r>
            <w:r>
              <w:rPr>
                <w:szCs w:val="24"/>
                <w:shd w:val="clear" w:color="auto" w:fill="FFFFFF"/>
              </w:rPr>
              <w:t>įsigyjamoms visai netaršioms transporto priemonėms įkrauti / pildyti būtina</w:t>
            </w:r>
            <w:r>
              <w:rPr>
                <w:szCs w:val="24"/>
              </w:rPr>
              <w:t xml:space="preserve"> infrastruktūra, numatoma, kad mažiausiai 70 procentų</w:t>
            </w:r>
            <w:r>
              <w:rPr>
                <w:iCs/>
                <w:szCs w:val="24"/>
              </w:rPr>
              <w:t xml:space="preserve"> (pagal svorį) nepavojingų statybinių ir griovimo atliekų (išskyrus natūraliai atsirandančias medžiagas, nurodytas 2000 m. gegužės 3 d. Komisijos sprendimo 2000/532/EB, keičiančio sprendimą 94/3/EB, nustatantį atliekų sąrašą pagal Tarybos direktyvos 75/442/EEB dėl atliekų 1 straipsnio a dalį, ir Tarybos sprendimą 94/904/EB, nustatantį pavojingų atliekų sąrašą pagal Tarybos direktyvos 91/698/EEB dėl pavojingų medžiagų 1 straipsnio 4 dalį, 17 05 04 kategorijoje), statybvietėje susidarančių atliekų turėtų būti parengta pakartotinai naudoti, perdirbti ar būtų galima panaudoti kitoms medžiagoms, įskaitant užpildymo operacijas, naudojant atliekas kitoms medžiagoms pakeisti, laikantis atliekų hierarchijos, nustatytos 2008 m. lapkričio 19 d. Europos Parlamento ir Tarybos direktyvoje 2008/98/EB dėl atliekų ir panaikinančioje kai kurias direktyvas, ir Europos Sąjungos statybos ir griovimo atliekų tvarkymo protokolo.</w:t>
            </w:r>
          </w:p>
          <w:p w14:paraId="787CC7B9" w14:textId="77777777" w:rsidR="00E55C1F" w:rsidRDefault="008E1F26">
            <w:pPr>
              <w:tabs>
                <w:tab w:val="left" w:pos="466"/>
              </w:tabs>
              <w:jc w:val="both"/>
              <w:rPr>
                <w:rFonts w:eastAsia="Calibri"/>
                <w:iCs/>
                <w:szCs w:val="24"/>
              </w:rPr>
            </w:pPr>
            <w:r>
              <w:rPr>
                <w:color w:val="000000"/>
              </w:rPr>
              <w:t>Pareiškėjas</w:t>
            </w:r>
            <w:r>
              <w:rPr>
                <w:iCs/>
                <w:szCs w:val="24"/>
              </w:rPr>
              <w:t>, rangovai (subrangovai) bus įpareigoti riboti atliekų susidarymą procesuose, susijusiuose su statyba ir griovimu, laikydamiesi Europos Sąjungos statybos ir griovimo atliekų tvarkymo protokolo, atsižvelgdami į geriausius taikomus metodus ir naudodami selektyvų griovimą, kad būtų galima pašalinti ir saugiai tvarkyti pavojingas medžiagas ir palengvinti pakartotinį jų perdirbimą.</w:t>
            </w:r>
            <w:r>
              <w:rPr>
                <w:rFonts w:eastAsia="Calibri"/>
                <w:iCs/>
                <w:szCs w:val="24"/>
              </w:rPr>
              <w:t xml:space="preserve"> Statybinės atliekos Lietuvos Respublikos atliekų tvarkymo įstatymo ir kitų teisės aktų nustatyta tvarka bus perduodamos atliekų tvarkytojams, turintiems teisę tvarkyti tokias atliekas (</w:t>
            </w:r>
            <w:r>
              <w:rPr>
                <w:iCs/>
                <w:szCs w:val="24"/>
              </w:rPr>
              <w:t xml:space="preserve">Atliekų tvarkymo įstatymo 4 straipsnio 1 dalis, Atliekų tvarkymo taisyklių, patvirtintų </w:t>
            </w:r>
            <w:r>
              <w:rPr>
                <w:rFonts w:eastAsia="Calibri"/>
                <w:iCs/>
                <w:szCs w:val="24"/>
              </w:rPr>
              <w:t xml:space="preserve">Lietuvos Respublikos aplinkos ministro </w:t>
            </w:r>
            <w:r>
              <w:rPr>
                <w:iCs/>
                <w:szCs w:val="24"/>
              </w:rPr>
              <w:t xml:space="preserve">1999 m. liepos 14 d. </w:t>
            </w:r>
            <w:r>
              <w:rPr>
                <w:rFonts w:eastAsia="Calibri"/>
                <w:iCs/>
                <w:szCs w:val="24"/>
              </w:rPr>
              <w:t xml:space="preserve">įsakymu Nr. 217 „Dėl Atliekų tvarkymo taisyklių patvirtinimo“, </w:t>
            </w:r>
            <w:r>
              <w:rPr>
                <w:iCs/>
                <w:szCs w:val="24"/>
              </w:rPr>
              <w:lastRenderedPageBreak/>
              <w:t>7 ir 9 punktai)</w:t>
            </w:r>
            <w:r>
              <w:rPr>
                <w:iCs/>
                <w:szCs w:val="24"/>
                <w:lang w:eastAsia="en-GB"/>
              </w:rPr>
              <w:t>.</w:t>
            </w:r>
            <w:r>
              <w:rPr>
                <w:rFonts w:eastAsia="Calibri"/>
                <w:iCs/>
                <w:szCs w:val="24"/>
              </w:rPr>
              <w:t xml:space="preserve"> Statybinių atliekų tvarkymo taisyklių, </w:t>
            </w:r>
            <w:r>
              <w:rPr>
                <w:iCs/>
                <w:szCs w:val="24"/>
              </w:rPr>
              <w:t>patvirtintų Lietuvos Respublikos aplinkos ministro 2006 m. gruodžio 29 d. įsakymu Nr. D1-637 „Dėl Statybinių atliekų tvarkymo taisyklių patvirtinimo“, 7 punkte</w:t>
            </w:r>
            <w:r>
              <w:rPr>
                <w:rFonts w:eastAsia="Calibri"/>
                <w:iCs/>
                <w:szCs w:val="24"/>
              </w:rPr>
              <w:t xml:space="preserve"> nustatyta, kad statybvietėje turi būti išrūšiuotos ir atskirai laikinai laikomos susidarančios komunalinės atliekos, inertinės atliekos, perdirbti ir pakartotinai naudoti tinkamos atliekos, pavojingos atliekos ir netinkamos perdirbti atliekos. Išrūšiuotos atliekos bus perduodamos įmonėms, turinčioms teisę tvarkyti tokias atliekas pagal sutartis dėl jų naudojimo ir šalinimo. Susidariusios asbesto turinčių gaminių atliekos bus šalinamos nustatyta tvarka atskiroje sekcijoje, įrengtoje prie bet kokios klasės sąvartyno pagal inertinių atliekų sąvartynų reikalavimus ir pažymėtoje įspėjamaisiais užrašais (</w:t>
            </w:r>
            <w:r>
              <w:rPr>
                <w:iCs/>
                <w:szCs w:val="24"/>
              </w:rPr>
              <w:t>Atliekų sąvartynų įrengimo, eksploatavimo, uždarymo ir priežiūros po uždarymo taisyklių, patvirtintų Lietuvos Respublikos aplinkos ministro 2000 m. spalio 18 d. įsakymu Nr. 444 „Dėl Atliekų sąvartynų įrengimo, eksploatavimo, uždarymo ir priežiūros po uždarymo taisyklių patvirtinimo“,</w:t>
            </w:r>
            <w:r>
              <w:rPr>
                <w:iCs/>
                <w:szCs w:val="24"/>
                <w:bdr w:val="none" w:sz="0" w:space="0" w:color="auto" w:frame="1"/>
                <w:lang w:eastAsia="lt-LT"/>
              </w:rPr>
              <w:t xml:space="preserve"> 43 punktas)</w:t>
            </w:r>
            <w:r>
              <w:rPr>
                <w:rFonts w:eastAsia="Calibri"/>
                <w:iCs/>
                <w:szCs w:val="24"/>
              </w:rPr>
              <w:t>. Tvarkant atliekas bus vadovaujamasi Europos Sąjungos geriausiais prieinamais gamybos būdais, taikomais atliekų apdorojimui.</w:t>
            </w:r>
          </w:p>
          <w:p w14:paraId="66070DC6" w14:textId="77777777" w:rsidR="00E55C1F" w:rsidRDefault="008E1F26">
            <w:pPr>
              <w:jc w:val="both"/>
              <w:rPr>
                <w:szCs w:val="24"/>
              </w:rPr>
            </w:pPr>
            <w:r>
              <w:rPr>
                <w:szCs w:val="24"/>
              </w:rPr>
              <w:t xml:space="preserve">Pasibaigus įrangos eksploatavimo laikui, ji bus saugiai paruošta pakartotiniam naudojimui ar perdirbimui pagal parengtą atliekų tvarkymo planą, kuris leistų užtikrinti maksimalų visai netaršių transporto priemonių pildymą, elektroninės įrangos perdirbimą pasibaigus jos eksploatavimo laikui, kaip tai numato </w:t>
            </w:r>
            <w:r>
              <w:rPr>
                <w:szCs w:val="24"/>
                <w:shd w:val="clear" w:color="auto" w:fill="FFFFFF"/>
              </w:rPr>
              <w:t>2012 m. liepos 4 d. Europos Parlamento ir Tarybos direktyva 2012/19/ES dėl elektros ir elektroninės įrangos atliekų</w:t>
            </w:r>
            <w:r>
              <w:rPr>
                <w:szCs w:val="24"/>
              </w:rPr>
              <w:t>.</w:t>
            </w:r>
          </w:p>
        </w:tc>
        <w:tc>
          <w:tcPr>
            <w:tcW w:w="4784" w:type="dxa"/>
          </w:tcPr>
          <w:p w14:paraId="37A851A7" w14:textId="77777777" w:rsidR="00E55C1F" w:rsidRDefault="008E1F26">
            <w:pPr>
              <w:jc w:val="both"/>
              <w:rPr>
                <w:rFonts w:eastAsia="Calibri"/>
                <w:bCs/>
                <w:szCs w:val="24"/>
              </w:rPr>
            </w:pPr>
            <w:r>
              <w:rPr>
                <w:rFonts w:eastAsia="Calibri"/>
                <w:bCs/>
                <w:szCs w:val="24"/>
              </w:rPr>
              <w:lastRenderedPageBreak/>
              <w:t>Pareiškėjas PĮP turi patvirtinti, kad bus laikomasi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 pateikti informaciją, kaip bus utilizuota įranga pasibaigus jos eksploatacijos laikui,</w:t>
            </w:r>
            <w:r>
              <w:t xml:space="preserve"> kitą aktualią informaciją ir (arba) </w:t>
            </w:r>
            <w:r>
              <w:lastRenderedPageBreak/>
              <w:t xml:space="preserve">dokumentus </w:t>
            </w:r>
            <w:r>
              <w:rPr>
                <w:i/>
                <w:iCs/>
              </w:rPr>
              <w:t xml:space="preserve">(taikoma, kai </w:t>
            </w:r>
            <w:r>
              <w:rPr>
                <w:i/>
                <w:iCs/>
                <w:szCs w:val="24"/>
              </w:rPr>
              <w:t xml:space="preserve">pagal Aprašą finansuojama </w:t>
            </w:r>
            <w:r>
              <w:rPr>
                <w:i/>
                <w:iCs/>
                <w:szCs w:val="24"/>
                <w:shd w:val="clear" w:color="auto" w:fill="FFFFFF"/>
              </w:rPr>
              <w:t>įsigyjamoms visai netaršioms transporto priemonėms įkrauti / pildyti būtina</w:t>
            </w:r>
            <w:r>
              <w:rPr>
                <w:i/>
                <w:iCs/>
                <w:szCs w:val="24"/>
              </w:rPr>
              <w:t xml:space="preserve"> infrastruktūra)</w:t>
            </w:r>
            <w:r>
              <w:rPr>
                <w:i/>
                <w:iCs/>
              </w:rPr>
              <w:t>.</w:t>
            </w:r>
          </w:p>
        </w:tc>
      </w:tr>
      <w:tr w:rsidR="00E55C1F" w14:paraId="2169C697" w14:textId="77777777">
        <w:tc>
          <w:tcPr>
            <w:tcW w:w="3119" w:type="dxa"/>
          </w:tcPr>
          <w:p w14:paraId="7A9082FE" w14:textId="77777777" w:rsidR="00E55C1F" w:rsidRDefault="008E1F26">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6946" w:type="dxa"/>
          </w:tcPr>
          <w:p w14:paraId="14FE508C" w14:textId="77777777" w:rsidR="00E55C1F" w:rsidRDefault="008E1F26">
            <w:pPr>
              <w:jc w:val="both"/>
            </w:pPr>
            <w:r>
              <w:t xml:space="preserve">Vertinama, kad planuojama įgyvendinti </w:t>
            </w:r>
            <w:r>
              <w:rPr>
                <w:szCs w:val="24"/>
              </w:rPr>
              <w:t xml:space="preserve">veikla „Miesto ir priemiestinio viešojo transporto priemonių parko atnaujinimas, skatinant naudoti visai netaršias transporto priemones“ </w:t>
            </w:r>
            <w:r>
              <w:t>neturi jokio numatomo poveikio šiam aplinkos tikslui arba numatomas jos poveikis yra nereikšmingas, t. y. nedaro tiesioginio ir pirminio netiesioginio poveikio per visą gyvavimo ciklą, todėl laikoma, kad investicijos atitinka oro, vandens ar žemės taršos prevencijos ir kontrolės tikslą.</w:t>
            </w:r>
          </w:p>
          <w:p w14:paraId="7B64D183" w14:textId="77777777" w:rsidR="00E55C1F" w:rsidRDefault="008E1F26">
            <w:pPr>
              <w:jc w:val="both"/>
              <w:rPr>
                <w:szCs w:val="24"/>
              </w:rPr>
            </w:pPr>
            <w:r>
              <w:rPr>
                <w:szCs w:val="24"/>
              </w:rPr>
              <w:t xml:space="preserve">Planuojamos investicijos į visai netaršių transporto priemonių keleiviams vežti miestuose arba priemiesčiuose įsigijimą neturės jokio </w:t>
            </w:r>
            <w:r>
              <w:rPr>
                <w:szCs w:val="24"/>
              </w:rPr>
              <w:lastRenderedPageBreak/>
              <w:t>neigiamo tiesioginio ar netiesioginio poveikio šiam aplinkos tikslui, nes M kategorijos kelių transporto priemonių padangos atitiks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65C699CE" w14:textId="77777777" w:rsidR="00E55C1F" w:rsidRDefault="008E1F26">
            <w:pPr>
              <w:jc w:val="both"/>
              <w:rPr>
                <w:rFonts w:eastAsia="Calibri"/>
                <w:bCs/>
                <w:szCs w:val="24"/>
              </w:rPr>
            </w:pPr>
            <w:r>
              <w:rPr>
                <w:szCs w:val="24"/>
              </w:rPr>
              <w:t xml:space="preserve">Tuo atveju, kai pagal Aprašą finansuojama </w:t>
            </w:r>
            <w:r>
              <w:rPr>
                <w:szCs w:val="24"/>
                <w:shd w:val="clear" w:color="auto" w:fill="FFFFFF"/>
              </w:rPr>
              <w:t>įsigyjamoms visai netaršioms transporto priemonėms įkrauti / pildyti būtina</w:t>
            </w:r>
            <w:r>
              <w:rPr>
                <w:szCs w:val="24"/>
              </w:rPr>
              <w:t xml:space="preserve"> infrastruktūra, ji turės būti įrengta vadovaujantis nustatytais nacionaliniais reikalavimais.</w:t>
            </w:r>
            <w:r>
              <w:t xml:space="preserve"> Imamasi priemonių, kuriomis mažinamas atliekant statybos ar techninės priežiūros darbus keliamas triukšmas ir susidarantis dulkių bei išmetamųjų teršalų kiekis.</w:t>
            </w:r>
          </w:p>
        </w:tc>
        <w:tc>
          <w:tcPr>
            <w:tcW w:w="4784" w:type="dxa"/>
          </w:tcPr>
          <w:p w14:paraId="0F07608F" w14:textId="77777777" w:rsidR="00E55C1F" w:rsidRDefault="008E1F26">
            <w:pPr>
              <w:tabs>
                <w:tab w:val="left" w:pos="460"/>
              </w:tabs>
              <w:ind w:left="35"/>
              <w:jc w:val="both"/>
              <w:rPr>
                <w:szCs w:val="24"/>
                <w:lang w:eastAsia="lt-LT"/>
              </w:rPr>
            </w:pPr>
            <w:r>
              <w:rPr>
                <w:szCs w:val="24"/>
                <w:lang w:eastAsia="lt-LT"/>
              </w:rPr>
              <w:lastRenderedPageBreak/>
              <w:t>Pateikiama nuoroda į techninį projektą arba techninę specifikaciją (</w:t>
            </w:r>
            <w:r>
              <w:rPr>
                <w:color w:val="000000"/>
                <w:szCs w:val="24"/>
                <w:lang w:eastAsia="lt-LT"/>
              </w:rPr>
              <w:t>kai perkama įranga, rangos darbai kartu su projektavimo paslaugomis ir pan.)</w:t>
            </w:r>
            <w:r>
              <w:rPr>
                <w:szCs w:val="24"/>
                <w:lang w:eastAsia="lt-LT"/>
              </w:rPr>
              <w:t>, kuriuose patvirtinama, kad projekto įgyvendinimo metu statybose naudojamose medžiagose nebus naudojama asbesto ir labai didelį susirūpinimą keliančių medžiagų.</w:t>
            </w:r>
          </w:p>
          <w:p w14:paraId="291016EE" w14:textId="77777777" w:rsidR="00E55C1F" w:rsidRDefault="00E55C1F">
            <w:pPr>
              <w:tabs>
                <w:tab w:val="left" w:pos="460"/>
              </w:tabs>
              <w:ind w:left="35"/>
              <w:jc w:val="both"/>
              <w:rPr>
                <w:rFonts w:eastAsia="Calibri"/>
                <w:szCs w:val="24"/>
                <w:lang w:eastAsia="lt-LT"/>
              </w:rPr>
            </w:pPr>
          </w:p>
          <w:p w14:paraId="694C7F27" w14:textId="77777777" w:rsidR="00E55C1F" w:rsidRDefault="008E1F26">
            <w:pPr>
              <w:tabs>
                <w:tab w:val="left" w:pos="473"/>
              </w:tabs>
              <w:jc w:val="both"/>
              <w:rPr>
                <w:szCs w:val="24"/>
              </w:rPr>
            </w:pPr>
            <w:r>
              <w:rPr>
                <w:szCs w:val="24"/>
              </w:rPr>
              <w:lastRenderedPageBreak/>
              <w:t>Pateikiama nuoroda į techninį projektą arba techninę specifikaciją (</w:t>
            </w:r>
            <w:r>
              <w:rPr>
                <w:color w:val="000000"/>
                <w:szCs w:val="24"/>
              </w:rPr>
              <w:t>kai perkama įranga,  rangos darbai kartu su projektavimo paslaugomis ir pan.)</w:t>
            </w:r>
            <w:r>
              <w:rPr>
                <w:szCs w:val="24"/>
              </w:rPr>
              <w:t>, kuriuose numatyti reikalavimai dėl triukšmo, dulkių kiekio mažinimo ir išmetamų teršalų kiekio suvaldymo, jei tokių būtų.</w:t>
            </w:r>
          </w:p>
          <w:p w14:paraId="36B6DB14" w14:textId="77777777" w:rsidR="00E55C1F" w:rsidRDefault="00E55C1F">
            <w:pPr>
              <w:tabs>
                <w:tab w:val="left" w:pos="473"/>
              </w:tabs>
              <w:ind w:left="34"/>
              <w:jc w:val="both"/>
              <w:rPr>
                <w:rFonts w:eastAsia="Calibri"/>
                <w:i/>
                <w:iCs/>
                <w:szCs w:val="24"/>
              </w:rPr>
            </w:pPr>
          </w:p>
          <w:p w14:paraId="1FFF54ED" w14:textId="77777777" w:rsidR="00E55C1F" w:rsidRDefault="008E1F26">
            <w:pPr>
              <w:tabs>
                <w:tab w:val="left" w:pos="556"/>
              </w:tabs>
              <w:jc w:val="both"/>
              <w:rPr>
                <w:rFonts w:eastAsia="Calibri"/>
                <w:szCs w:val="24"/>
              </w:rPr>
            </w:pPr>
            <w:r>
              <w:rPr>
                <w:rFonts w:eastAsia="Calibri"/>
                <w:szCs w:val="24"/>
                <w:lang w:eastAsia="lt-LT"/>
              </w:rPr>
              <w:t>Pateikiama kita aktuali informacija ir (ar) dokumentai.</w:t>
            </w:r>
          </w:p>
        </w:tc>
      </w:tr>
      <w:tr w:rsidR="00E55C1F" w14:paraId="6B5680FF" w14:textId="77777777">
        <w:tc>
          <w:tcPr>
            <w:tcW w:w="3119" w:type="dxa"/>
          </w:tcPr>
          <w:p w14:paraId="71F45510" w14:textId="77777777" w:rsidR="00E55C1F" w:rsidRDefault="008E1F26">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6946" w:type="dxa"/>
          </w:tcPr>
          <w:p w14:paraId="45702838" w14:textId="77777777" w:rsidR="00E55C1F" w:rsidRDefault="008E1F26">
            <w:pPr>
              <w:jc w:val="both"/>
              <w:rPr>
                <w:bCs/>
                <w:szCs w:val="24"/>
              </w:rPr>
            </w:pPr>
            <w:r>
              <w:rPr>
                <w:bCs/>
                <w:szCs w:val="24"/>
              </w:rPr>
              <w:t xml:space="preserve">Vertinama, kad planuojama įgyvendinti </w:t>
            </w:r>
            <w:r>
              <w:rPr>
                <w:szCs w:val="24"/>
              </w:rPr>
              <w:t xml:space="preserve">veikla „Miesto ir priemiestinio viešojo transporto priemonių parko atnaujinimas, skatinant naudoti visai netaršias transporto priemones“ </w:t>
            </w:r>
            <w:r>
              <w:rPr>
                <w:bCs/>
                <w:szCs w:val="24"/>
              </w:rPr>
              <w:t>neturi jokio numatomo poveikio šiam aplinkos tikslui arba numatomas jos poveikis yra nereikšmingas, t. y. nedaro tiesioginio ir pirminio netiesioginio poveikio per visą gyvavimo ciklą, todėl laikoma, kad investicija atitinka biologinės įvairovės ir ekosistemų apsaugos ir atkūrimo tikslą.</w:t>
            </w:r>
          </w:p>
          <w:p w14:paraId="7AC3CB46" w14:textId="77777777" w:rsidR="00E55C1F" w:rsidRDefault="008E1F26">
            <w:pPr>
              <w:jc w:val="both"/>
              <w:rPr>
                <w:i/>
                <w:szCs w:val="24"/>
              </w:rPr>
            </w:pPr>
            <w:r>
              <w:rPr>
                <w:szCs w:val="24"/>
              </w:rPr>
              <w:t>Nenumatoma, kad investicijos į visai netaršių transporto priemonių keleiviams vežti miestuose arba priemiesčiuose įsigijimą turės neigiamą įtaką biologinės įvairovės ir ekosistemų apsaugos ir atkūrimo tikslui</w:t>
            </w:r>
            <w:r>
              <w:rPr>
                <w:i/>
                <w:szCs w:val="24"/>
              </w:rPr>
              <w:t>.</w:t>
            </w:r>
          </w:p>
          <w:p w14:paraId="445A41F4" w14:textId="77777777" w:rsidR="00E55C1F" w:rsidRDefault="008E1F26">
            <w:pPr>
              <w:jc w:val="both"/>
              <w:rPr>
                <w:rFonts w:eastAsia="Calibri"/>
                <w:iCs/>
                <w:szCs w:val="24"/>
              </w:rPr>
            </w:pPr>
            <w:r>
              <w:rPr>
                <w:szCs w:val="24"/>
              </w:rPr>
              <w:t xml:space="preserve">Tuo atveju, kai pagal Aprašą finansuojama </w:t>
            </w:r>
            <w:r>
              <w:rPr>
                <w:szCs w:val="24"/>
                <w:shd w:val="clear" w:color="auto" w:fill="FFFFFF"/>
              </w:rPr>
              <w:t>įsigyjamoms visai netaršioms transporto priemonėms įkrauti / pildyti būtina</w:t>
            </w:r>
            <w:r>
              <w:rPr>
                <w:szCs w:val="24"/>
              </w:rPr>
              <w:t xml:space="preserve"> infrastruktūra,</w:t>
            </w:r>
            <w:r>
              <w:rPr>
                <w:iCs/>
                <w:szCs w:val="24"/>
              </w:rPr>
              <w:t xml:space="preserve"> turi būti parengta informacija apie projektui taikomus aplinkosaugos reikalavimus:</w:t>
            </w:r>
          </w:p>
          <w:p w14:paraId="55A0FB7D" w14:textId="77777777" w:rsidR="00E55C1F" w:rsidRDefault="008E1F26">
            <w:pPr>
              <w:jc w:val="both"/>
              <w:rPr>
                <w:szCs w:val="24"/>
              </w:rPr>
            </w:pPr>
            <w:r>
              <w:rPr>
                <w:szCs w:val="24"/>
              </w:rPr>
              <w:t>1. Pagal Direktyvą 2011/92/ES bus atliktas PAV arba analizė (p</w:t>
            </w:r>
            <w:r>
              <w:rPr>
                <w:color w:val="000000"/>
                <w:szCs w:val="24"/>
              </w:rPr>
              <w:t xml:space="preserve">rocedūra, pagal kurią kompetentinga institucija nustato, ar turi būti </w:t>
            </w:r>
            <w:r>
              <w:rPr>
                <w:color w:val="000000"/>
                <w:szCs w:val="24"/>
              </w:rPr>
              <w:lastRenderedPageBreak/>
              <w:t xml:space="preserve">atliekamas Direktyvos 2011/92/ES II priede išvardytų projektų </w:t>
            </w:r>
            <w:r>
              <w:t>PAV</w:t>
            </w:r>
            <w:r>
              <w:rPr>
                <w:color w:val="000000"/>
                <w:szCs w:val="24"/>
              </w:rPr>
              <w:t xml:space="preserve"> (kaip nurodyta Direktyvos </w:t>
            </w:r>
            <w:r>
              <w:rPr>
                <w:szCs w:val="24"/>
              </w:rPr>
              <w:t xml:space="preserve">2011/92/ES </w:t>
            </w:r>
            <w:r>
              <w:rPr>
                <w:color w:val="000000"/>
                <w:szCs w:val="24"/>
              </w:rPr>
              <w:t>4 straipsnio 2 dalyje</w:t>
            </w:r>
            <w:r>
              <w:rPr>
                <w:szCs w:val="24"/>
              </w:rPr>
              <w:t>). Jei bus atliktas PAV, aplinkos apsaugos tikslais bus įgyvendintos reikiamos poveikio švelninimo ir kompensuojamosios priemonės.</w:t>
            </w:r>
          </w:p>
          <w:p w14:paraId="1BDCE00D" w14:textId="77777777" w:rsidR="00E55C1F" w:rsidRDefault="008E1F26">
            <w:pPr>
              <w:jc w:val="both"/>
              <w:rPr>
                <w:rFonts w:eastAsia="Calibri"/>
                <w:bCs/>
                <w:szCs w:val="24"/>
                <w:highlight w:val="yellow"/>
              </w:rPr>
            </w:pPr>
            <w:r>
              <w:t xml:space="preserve">2. Siekiant užtikrinti, kad </w:t>
            </w:r>
            <w:r>
              <w:rPr>
                <w:color w:val="000000"/>
              </w:rPr>
              <w:t>veiklos neturėtų reikšmingo poveikio saugomos teritorijos apsaugos tikslams, p</w:t>
            </w:r>
            <w:r>
              <w:t xml:space="preserve">ažeidžiamos biologinės įvairovės vietovėse arba šalia jų (įskaitant „Natura 2000“ saugomų teritorijų tinklą, UNESCO pasaulio paveldo objektus ir pagrindines biologinės įvairovės teritorijas, taip pat kitas saugomas teritorijas) esančių vietovių ir (arba) vykdomų operacijų atveju atitinkamais </w:t>
            </w:r>
            <w:r>
              <w:rPr>
                <w:szCs w:val="24"/>
              </w:rPr>
              <w:t>atvejais bus atliktas atitinkamas vertinimas (p</w:t>
            </w:r>
            <w:r>
              <w:rPr>
                <w:color w:val="000000"/>
                <w:szCs w:val="24"/>
              </w:rPr>
              <w:t xml:space="preserve">agal </w:t>
            </w:r>
            <w:r>
              <w:rPr>
                <w:szCs w:val="24"/>
              </w:rPr>
              <w:t>1992 m. gegužės 21 d. Tarybos direktyvą 92/43/EEB dėl natūralių buveinių ir laukinės faunos bei floros apsaugos</w:t>
            </w:r>
            <w:r>
              <w:rPr>
                <w:color w:val="000000"/>
                <w:szCs w:val="24"/>
              </w:rPr>
              <w:t xml:space="preserve"> ir </w:t>
            </w:r>
            <w:r>
              <w:rPr>
                <w:szCs w:val="24"/>
              </w:rPr>
              <w:t>2009 m. lapkričio 30 d. Europos Parlamento ir Tarybos direktyvą 2009/147/EB dėl laukinių paukščių apsaugos) ir, remiantis jo išvadomis, įgyvendintos būtinos poveikio švelninimo priemonės.</w:t>
            </w:r>
          </w:p>
        </w:tc>
        <w:tc>
          <w:tcPr>
            <w:tcW w:w="4784" w:type="dxa"/>
          </w:tcPr>
          <w:p w14:paraId="038C0CF2" w14:textId="77777777" w:rsidR="00E55C1F" w:rsidRDefault="008E1F26">
            <w:pPr>
              <w:tabs>
                <w:tab w:val="left" w:pos="556"/>
              </w:tabs>
              <w:ind w:left="35" w:firstLine="24"/>
              <w:jc w:val="both"/>
              <w:rPr>
                <w:szCs w:val="24"/>
              </w:rPr>
            </w:pPr>
            <w:r>
              <w:rPr>
                <w:rFonts w:eastAsia="Calibri"/>
              </w:rPr>
              <w:lastRenderedPageBreak/>
              <w:t>Vadovaujantis Reglamento (ES) 2021/2139 II priedo 6.3 papunkčio „</w:t>
            </w:r>
            <w:r>
              <w:t>Miesto ir priemiestinis transportas, keleivinis kelių transportas“ 6</w:t>
            </w:r>
            <w:r>
              <w:rPr>
                <w:szCs w:val="24"/>
              </w:rPr>
              <w:t xml:space="preserve"> dalimi „</w:t>
            </w:r>
            <w:r>
              <w:rPr>
                <w:rFonts w:eastAsia="Calibri"/>
                <w:szCs w:val="24"/>
              </w:rPr>
              <w:t>Biologinės įvairovės ir ekosistemų apsauga ir atkūrimas“</w:t>
            </w:r>
            <w:r>
              <w:rPr>
                <w:szCs w:val="24"/>
              </w:rPr>
              <w:t xml:space="preserve"> aplinkos tikslas netaikomas</w:t>
            </w:r>
            <w:r>
              <w:t xml:space="preserve">. </w:t>
            </w:r>
            <w:r>
              <w:rPr>
                <w:szCs w:val="24"/>
              </w:rPr>
              <w:t>Pagrindimo dokumentai neteikiami, jeigu pagal Aprašą nefinansuojamas visai netaršių transporto priemonių keleiviams vežti įkrovimo / pildymo infrastruktūros įsigijimas.</w:t>
            </w:r>
          </w:p>
          <w:p w14:paraId="2ED95890" w14:textId="77777777" w:rsidR="00E55C1F" w:rsidRDefault="00E55C1F">
            <w:pPr>
              <w:ind w:left="30"/>
              <w:jc w:val="both"/>
              <w:rPr>
                <w:szCs w:val="24"/>
              </w:rPr>
            </w:pPr>
          </w:p>
          <w:p w14:paraId="63274C13" w14:textId="77777777" w:rsidR="00E55C1F" w:rsidRDefault="008E1F26">
            <w:pPr>
              <w:tabs>
                <w:tab w:val="left" w:pos="443"/>
              </w:tabs>
              <w:ind w:left="34"/>
              <w:jc w:val="both"/>
              <w:rPr>
                <w:szCs w:val="24"/>
              </w:rPr>
            </w:pPr>
            <w:r>
              <w:rPr>
                <w:szCs w:val="24"/>
              </w:rPr>
              <w:t xml:space="preserve">Tuo atveju, kai pagal Aprašą finansuojama </w:t>
            </w:r>
            <w:r>
              <w:rPr>
                <w:szCs w:val="24"/>
                <w:shd w:val="clear" w:color="auto" w:fill="FFFFFF"/>
              </w:rPr>
              <w:t>įsigyjamoms visai netaršioms transporto priemonėms įkrauti / pildyti būtina</w:t>
            </w:r>
            <w:r>
              <w:rPr>
                <w:sz w:val="22"/>
                <w:szCs w:val="24"/>
              </w:rPr>
              <w:t xml:space="preserve"> </w:t>
            </w:r>
            <w:r>
              <w:rPr>
                <w:szCs w:val="24"/>
              </w:rPr>
              <w:t>infrastruktūra:</w:t>
            </w:r>
          </w:p>
          <w:p w14:paraId="759E64D8" w14:textId="77777777" w:rsidR="00E55C1F" w:rsidRDefault="008E1F26">
            <w:pPr>
              <w:tabs>
                <w:tab w:val="left" w:pos="443"/>
              </w:tabs>
              <w:ind w:left="34"/>
              <w:jc w:val="both"/>
              <w:rPr>
                <w:szCs w:val="24"/>
              </w:rPr>
            </w:pPr>
            <w:r>
              <w:rPr>
                <w:szCs w:val="24"/>
              </w:rPr>
              <w:t xml:space="preserve">- PĮP pateikiamas statomų įrenginių vietovės, kurioje numatyta statyti įrenginius, su </w:t>
            </w:r>
            <w:r>
              <w:rPr>
                <w:szCs w:val="24"/>
              </w:rPr>
              <w:lastRenderedPageBreak/>
              <w:t xml:space="preserve">nuorodomis ar vietovės žemėlapio kopijomis, įrodančiomis, kad </w:t>
            </w:r>
            <w:r>
              <w:rPr>
                <w:rFonts w:eastAsia="Calibri"/>
                <w:szCs w:val="24"/>
              </w:rPr>
              <w:t xml:space="preserve">nenumatoma kurti ar modernizuoti infrastruktūros „Natura 2000“, UNESCO pasaulinio paveldo ar kitose saugomose teritorijose, pagrindimas, </w:t>
            </w:r>
            <w:r>
              <w:rPr>
                <w:szCs w:val="24"/>
              </w:rPr>
              <w:t>kita aktuali informacija ir (arba) dokumentai;</w:t>
            </w:r>
          </w:p>
          <w:p w14:paraId="588F9A8B" w14:textId="77777777" w:rsidR="00E55C1F" w:rsidRDefault="008E1F26">
            <w:pPr>
              <w:ind w:left="30"/>
              <w:jc w:val="both"/>
              <w:rPr>
                <w:szCs w:val="24"/>
              </w:rPr>
            </w:pPr>
            <w:r>
              <w:rPr>
                <w:bCs/>
                <w:szCs w:val="24"/>
                <w:lang w:eastAsia="lt-LT"/>
              </w:rPr>
              <w:t xml:space="preserve">- pateikiamas </w:t>
            </w:r>
            <w:r>
              <w:t>įsipareigojimas, kad, jeigu, vadovaujantis Planuojamos ūkinės veiklos poveikio aplinkai vertinimo įstatymu, privaloma atlikti PAV, per 2 mėnesius nuo projekto sutarties pasirašymo bus pateikta PAV</w:t>
            </w:r>
            <w:r>
              <w:rPr>
                <w:highlight w:val="yellow"/>
              </w:rPr>
              <w:t xml:space="preserve"> </w:t>
            </w:r>
            <w:r>
              <w:t>ataskaita ir atsakingos institucijos galiojantis teigiamas sprendimas dėl planuojamos ūkinės veiklos galimybių arba su PĮP pateikta galiojanti atrankos išvada, kad PAV neprivalomas, kai pagal Planuojamos ūkinės veiklos poveikio aplinkai vertinimo įstatymo nuostatas turi būti atliktos planuojamos ūkinės PAV procedūros (jei taikoma), arba pateikiamas pagrindimas, kodėl nurodytos procedūros netaikomos;</w:t>
            </w:r>
          </w:p>
          <w:p w14:paraId="1828ABE0" w14:textId="77777777" w:rsidR="00E55C1F" w:rsidRDefault="008E1F26">
            <w:pPr>
              <w:ind w:left="30"/>
              <w:jc w:val="both"/>
              <w:rPr>
                <w:szCs w:val="24"/>
              </w:rPr>
            </w:pPr>
            <w:r>
              <w:rPr>
                <w:szCs w:val="24"/>
              </w:rPr>
              <w:t xml:space="preserve">- </w:t>
            </w:r>
            <w:r>
              <w:t xml:space="preserve">kai planuojama ūkinė veikla susijusi su įsteigtomis ar potencialiomis „Natura 2000“ teritorijomis ar artima tokių teritorijų aplinka, pareiškėjas iki PĮP pateikimo turi būti atlikęs „Natura 2000“ teritorijų reikšmingumo nustatymą, vadovaudamasis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w:t>
            </w:r>
            <w:r>
              <w:lastRenderedPageBreak/>
              <w:t>potencialioms „Natura 2000“ teritorijoms reikšmingumo nustatymo tvarkos aprašo patvirtinimo“, nuostatomis ir turėti atsakingos institucijos Planų ar programų įgyvendinimo poveikio įsteigtoms ar potencialioms „Natura 2000“ teritorijoms reikšmingumo išvadą (jei taikoma) arba pateikiamas pagrindimas, kodėl nurodytos procedūros netaikomos</w:t>
            </w:r>
            <w:r>
              <w:rPr>
                <w:szCs w:val="24"/>
              </w:rPr>
              <w:t>.</w:t>
            </w:r>
          </w:p>
        </w:tc>
      </w:tr>
    </w:tbl>
    <w:p w14:paraId="709FA18F" w14:textId="77777777" w:rsidR="00E55C1F" w:rsidRDefault="008E1F26">
      <w:pPr>
        <w:spacing w:line="276" w:lineRule="auto"/>
        <w:jc w:val="center"/>
        <w:rPr>
          <w:rFonts w:eastAsia="Calibri"/>
          <w:szCs w:val="24"/>
        </w:rPr>
      </w:pPr>
      <w:r>
        <w:rPr>
          <w:rFonts w:eastAsia="Calibri"/>
          <w:szCs w:val="24"/>
        </w:rPr>
        <w:lastRenderedPageBreak/>
        <w:t>________________</w:t>
      </w:r>
    </w:p>
    <w:p w14:paraId="3705CC95" w14:textId="77777777" w:rsidR="00E55C1F" w:rsidRDefault="00E55C1F">
      <w:pPr>
        <w:rPr>
          <w:sz w:val="18"/>
          <w:szCs w:val="18"/>
        </w:rPr>
      </w:pPr>
    </w:p>
    <w:p w14:paraId="74863DAD" w14:textId="77777777" w:rsidR="00E55C1F" w:rsidRDefault="00E55C1F">
      <w:pPr>
        <w:spacing w:line="276" w:lineRule="auto"/>
        <w:rPr>
          <w:rFonts w:eastAsia="Calibri"/>
          <w:szCs w:val="24"/>
        </w:rPr>
        <w:sectPr w:rsidR="00E55C1F">
          <w:pgSz w:w="16838" w:h="11906" w:orient="landscape"/>
          <w:pgMar w:top="1134" w:right="567" w:bottom="851" w:left="1134" w:header="567" w:footer="567" w:gutter="0"/>
          <w:pgNumType w:start="1"/>
          <w:cols w:space="1296"/>
          <w:titlePg/>
          <w:docGrid w:linePitch="360"/>
        </w:sectPr>
      </w:pPr>
    </w:p>
    <w:p w14:paraId="5CF915F9" w14:textId="77777777" w:rsidR="00E55C1F" w:rsidRDefault="00E55C1F">
      <w:pPr>
        <w:tabs>
          <w:tab w:val="center" w:pos="4819"/>
          <w:tab w:val="right" w:pos="9638"/>
        </w:tabs>
      </w:pPr>
    </w:p>
    <w:p w14:paraId="5ACCE2AC" w14:textId="77777777" w:rsidR="00E55C1F" w:rsidRDefault="008E1F26">
      <w:pPr>
        <w:suppressAutoHyphens/>
        <w:ind w:left="9781"/>
        <w:jc w:val="both"/>
        <w:textAlignment w:val="baseline"/>
        <w:rPr>
          <w:szCs w:val="24"/>
        </w:rPr>
      </w:pPr>
      <w:r>
        <w:rPr>
          <w:szCs w:val="24"/>
        </w:rPr>
        <w:t xml:space="preserve">2022–2030 metų plėtros programos valdytojos Lietuvos Respublikos susisiekimo ministerijos susisiekimo plėtros programos pažangos priemonės </w:t>
      </w:r>
      <w:r>
        <w:rPr>
          <w:color w:val="000000"/>
          <w:szCs w:val="24"/>
          <w:lang w:eastAsia="en-GB"/>
        </w:rPr>
        <w:t>Nr. 10-001-06-01-01 „Skatinti alternatyviųjų degalų naudojimą transporto sektoriuje“ veiklos „</w:t>
      </w:r>
      <w:r>
        <w:rPr>
          <w:szCs w:val="24"/>
        </w:rPr>
        <w:t>Miesto ir priemiestinio viešojo transporto priemonių parko atnaujinimas, skatinant naudoti visai netaršias transporto priemones“ projektų finansavimo sąlygų aprašo Nr. 2</w:t>
      </w:r>
    </w:p>
    <w:p w14:paraId="0120CBF0" w14:textId="77777777" w:rsidR="00E55C1F" w:rsidRDefault="008E1F26">
      <w:pPr>
        <w:ind w:left="9781"/>
        <w:jc w:val="both"/>
        <w:rPr>
          <w:szCs w:val="24"/>
        </w:rPr>
      </w:pPr>
      <w:r>
        <w:rPr>
          <w:szCs w:val="24"/>
        </w:rPr>
        <w:t>2 priedas</w:t>
      </w:r>
    </w:p>
    <w:p w14:paraId="623C556E" w14:textId="77777777" w:rsidR="00E55C1F" w:rsidRDefault="00E55C1F">
      <w:pPr>
        <w:jc w:val="center"/>
        <w:rPr>
          <w:rFonts w:eastAsia="Calibri"/>
          <w:b/>
          <w:bCs/>
          <w:szCs w:val="24"/>
        </w:rPr>
      </w:pPr>
    </w:p>
    <w:tbl>
      <w:tblPr>
        <w:tblW w:w="14742" w:type="dxa"/>
        <w:tblLook w:val="04A0" w:firstRow="1" w:lastRow="0" w:firstColumn="1" w:lastColumn="0" w:noHBand="0" w:noVBand="1"/>
      </w:tblPr>
      <w:tblGrid>
        <w:gridCol w:w="479"/>
        <w:gridCol w:w="556"/>
        <w:gridCol w:w="3076"/>
        <w:gridCol w:w="1172"/>
        <w:gridCol w:w="3585"/>
        <w:gridCol w:w="1508"/>
        <w:gridCol w:w="453"/>
        <w:gridCol w:w="874"/>
        <w:gridCol w:w="3039"/>
      </w:tblGrid>
      <w:tr w:rsidR="00E55C1F" w14:paraId="4B69F17E" w14:textId="77777777">
        <w:trPr>
          <w:trHeight w:val="288"/>
        </w:trPr>
        <w:tc>
          <w:tcPr>
            <w:tcW w:w="14742" w:type="dxa"/>
            <w:gridSpan w:val="9"/>
            <w:tcBorders>
              <w:top w:val="nil"/>
              <w:left w:val="nil"/>
              <w:bottom w:val="nil"/>
              <w:right w:val="nil"/>
            </w:tcBorders>
            <w:shd w:val="clear" w:color="auto" w:fill="FFFFFF" w:themeFill="background1"/>
            <w:noWrap/>
            <w:vAlign w:val="center"/>
            <w:hideMark/>
          </w:tcPr>
          <w:p w14:paraId="3FA65359" w14:textId="77777777" w:rsidR="00E55C1F" w:rsidRDefault="00E55C1F">
            <w:pPr>
              <w:jc w:val="center"/>
              <w:rPr>
                <w:b/>
                <w:bCs/>
                <w:color w:val="000000"/>
                <w:szCs w:val="24"/>
              </w:rPr>
            </w:pPr>
          </w:p>
          <w:p w14:paraId="6AD86255" w14:textId="77777777" w:rsidR="00E55C1F" w:rsidRDefault="008E1F26">
            <w:pPr>
              <w:jc w:val="center"/>
              <w:rPr>
                <w:b/>
                <w:bCs/>
                <w:sz w:val="27"/>
                <w:szCs w:val="27"/>
                <w:lang w:eastAsia="lt-LT"/>
              </w:rPr>
            </w:pPr>
            <w:r>
              <w:rPr>
                <w:b/>
                <w:bCs/>
                <w:sz w:val="27"/>
                <w:szCs w:val="27"/>
                <w:lang w:eastAsia="lt-LT"/>
              </w:rPr>
              <w:t>VIENOS ĮMONĖS DEKLARACIJA</w:t>
            </w:r>
          </w:p>
          <w:p w14:paraId="0A415164" w14:textId="77777777" w:rsidR="00E55C1F" w:rsidRDefault="00E55C1F">
            <w:pPr>
              <w:jc w:val="center"/>
              <w:rPr>
                <w:b/>
                <w:bCs/>
                <w:color w:val="000000"/>
                <w:szCs w:val="24"/>
              </w:rPr>
            </w:pPr>
          </w:p>
          <w:p w14:paraId="06DC1C35" w14:textId="77777777" w:rsidR="00E55C1F" w:rsidRDefault="00E55C1F">
            <w:pPr>
              <w:rPr>
                <w:b/>
                <w:bCs/>
                <w:color w:val="000000"/>
                <w:szCs w:val="24"/>
              </w:rPr>
            </w:pPr>
          </w:p>
          <w:p w14:paraId="4532DD8B" w14:textId="77777777" w:rsidR="00E55C1F" w:rsidRDefault="00E55C1F">
            <w:pPr>
              <w:rPr>
                <w:b/>
                <w:bCs/>
                <w:color w:val="000000"/>
                <w:szCs w:val="24"/>
              </w:rPr>
            </w:pPr>
          </w:p>
        </w:tc>
      </w:tr>
      <w:tr w:rsidR="00E55C1F" w14:paraId="308A9760" w14:textId="77777777">
        <w:trPr>
          <w:gridAfter w:val="2"/>
          <w:wAfter w:w="3913" w:type="dxa"/>
          <w:trHeight w:val="288"/>
        </w:trPr>
        <w:tc>
          <w:tcPr>
            <w:tcW w:w="479" w:type="dxa"/>
            <w:tcBorders>
              <w:top w:val="nil"/>
              <w:left w:val="nil"/>
              <w:bottom w:val="nil"/>
              <w:right w:val="nil"/>
            </w:tcBorders>
            <w:shd w:val="clear" w:color="auto" w:fill="auto"/>
            <w:noWrap/>
            <w:vAlign w:val="center"/>
            <w:hideMark/>
          </w:tcPr>
          <w:p w14:paraId="3A623A01" w14:textId="77777777" w:rsidR="00E55C1F" w:rsidRDefault="00E55C1F">
            <w:pPr>
              <w:jc w:val="center"/>
              <w:rPr>
                <w:szCs w:val="24"/>
              </w:rPr>
            </w:pPr>
          </w:p>
        </w:tc>
        <w:tc>
          <w:tcPr>
            <w:tcW w:w="556" w:type="dxa"/>
            <w:tcBorders>
              <w:top w:val="nil"/>
              <w:left w:val="nil"/>
              <w:bottom w:val="nil"/>
              <w:right w:val="nil"/>
            </w:tcBorders>
            <w:shd w:val="clear" w:color="auto" w:fill="auto"/>
            <w:noWrap/>
            <w:vAlign w:val="bottom"/>
          </w:tcPr>
          <w:p w14:paraId="6557F9EC" w14:textId="77777777" w:rsidR="00E55C1F" w:rsidRDefault="00E55C1F">
            <w:pPr>
              <w:jc w:val="center"/>
              <w:rPr>
                <w:szCs w:val="24"/>
              </w:rPr>
            </w:pPr>
          </w:p>
        </w:tc>
        <w:tc>
          <w:tcPr>
            <w:tcW w:w="3076" w:type="dxa"/>
            <w:tcBorders>
              <w:left w:val="nil"/>
              <w:bottom w:val="nil"/>
              <w:right w:val="nil"/>
            </w:tcBorders>
            <w:shd w:val="clear" w:color="auto" w:fill="auto"/>
            <w:noWrap/>
            <w:vAlign w:val="bottom"/>
          </w:tcPr>
          <w:p w14:paraId="7B1BD076" w14:textId="77777777" w:rsidR="00E55C1F" w:rsidRDefault="00E55C1F">
            <w:pPr>
              <w:jc w:val="center"/>
              <w:rPr>
                <w:szCs w:val="24"/>
              </w:rPr>
            </w:pPr>
          </w:p>
        </w:tc>
        <w:tc>
          <w:tcPr>
            <w:tcW w:w="6265" w:type="dxa"/>
            <w:gridSpan w:val="3"/>
            <w:tcBorders>
              <w:top w:val="single" w:sz="4" w:space="0" w:color="auto"/>
              <w:left w:val="nil"/>
              <w:bottom w:val="nil"/>
              <w:right w:val="nil"/>
            </w:tcBorders>
            <w:shd w:val="clear" w:color="auto" w:fill="auto"/>
            <w:noWrap/>
            <w:vAlign w:val="bottom"/>
            <w:hideMark/>
          </w:tcPr>
          <w:p w14:paraId="75193720" w14:textId="77777777" w:rsidR="00E55C1F" w:rsidRDefault="008E1F26">
            <w:pPr>
              <w:jc w:val="center"/>
              <w:rPr>
                <w:color w:val="000000"/>
                <w:szCs w:val="24"/>
              </w:rPr>
            </w:pPr>
            <w:r>
              <w:rPr>
                <w:color w:val="000000"/>
                <w:szCs w:val="24"/>
              </w:rPr>
              <w:t>(pildymo data)</w:t>
            </w:r>
          </w:p>
          <w:p w14:paraId="6364B4FE" w14:textId="77777777" w:rsidR="00E55C1F" w:rsidRDefault="00E55C1F">
            <w:pPr>
              <w:jc w:val="center"/>
              <w:rPr>
                <w:color w:val="000000"/>
                <w:szCs w:val="24"/>
              </w:rPr>
            </w:pPr>
          </w:p>
          <w:p w14:paraId="2980638B" w14:textId="77777777" w:rsidR="00E55C1F" w:rsidRDefault="00E55C1F">
            <w:pPr>
              <w:jc w:val="center"/>
              <w:rPr>
                <w:color w:val="000000"/>
                <w:szCs w:val="24"/>
              </w:rPr>
            </w:pPr>
          </w:p>
        </w:tc>
        <w:tc>
          <w:tcPr>
            <w:tcW w:w="453" w:type="dxa"/>
            <w:tcBorders>
              <w:top w:val="nil"/>
              <w:left w:val="nil"/>
              <w:bottom w:val="nil"/>
              <w:right w:val="nil"/>
            </w:tcBorders>
            <w:shd w:val="clear" w:color="auto" w:fill="auto"/>
            <w:noWrap/>
            <w:vAlign w:val="bottom"/>
            <w:hideMark/>
          </w:tcPr>
          <w:p w14:paraId="3D779B38" w14:textId="77777777" w:rsidR="00E55C1F" w:rsidRDefault="00E55C1F">
            <w:pPr>
              <w:rPr>
                <w:szCs w:val="24"/>
              </w:rPr>
            </w:pPr>
          </w:p>
        </w:tc>
      </w:tr>
      <w:tr w:rsidR="00E55C1F" w14:paraId="2B11E541" w14:textId="77777777">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4FDE0428" w14:textId="77777777" w:rsidR="00E55C1F" w:rsidRDefault="008E1F26">
            <w:pPr>
              <w:rPr>
                <w:b/>
                <w:bCs/>
                <w:color w:val="000000"/>
                <w:szCs w:val="24"/>
              </w:rPr>
            </w:pPr>
            <w:r>
              <w:rPr>
                <w:b/>
                <w:bCs/>
                <w:color w:val="000000"/>
                <w:szCs w:val="24"/>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3525AE9" w14:textId="77777777" w:rsidR="00E55C1F" w:rsidRDefault="008E1F26">
            <w:pPr>
              <w:rPr>
                <w:b/>
                <w:bCs/>
                <w:color w:val="000000"/>
                <w:szCs w:val="24"/>
              </w:rPr>
            </w:pPr>
            <w:r>
              <w:rPr>
                <w:b/>
                <w:bCs/>
                <w:color w:val="000000"/>
                <w:szCs w:val="24"/>
              </w:rPr>
              <w:t>Deklaruojančios įmonės pavadinimas</w:t>
            </w:r>
          </w:p>
        </w:tc>
        <w:tc>
          <w:tcPr>
            <w:tcW w:w="9459"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9765118" w14:textId="77777777" w:rsidR="00E55C1F" w:rsidRDefault="00E55C1F">
            <w:pPr>
              <w:rPr>
                <w:b/>
                <w:bCs/>
                <w:color w:val="000000"/>
                <w:szCs w:val="24"/>
              </w:rPr>
            </w:pPr>
          </w:p>
        </w:tc>
      </w:tr>
      <w:tr w:rsidR="00E55C1F" w14:paraId="13FE4B7E" w14:textId="77777777">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894B8CA" w14:textId="77777777" w:rsidR="00E55C1F" w:rsidRDefault="008E1F26">
            <w:pPr>
              <w:rPr>
                <w:b/>
                <w:bCs/>
                <w:color w:val="000000"/>
                <w:szCs w:val="24"/>
              </w:rPr>
            </w:pPr>
            <w:r>
              <w:rPr>
                <w:b/>
                <w:bCs/>
                <w:color w:val="000000"/>
                <w:szCs w:val="24"/>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C8216D8" w14:textId="77777777" w:rsidR="00E55C1F" w:rsidRDefault="008E1F26">
            <w:pPr>
              <w:rPr>
                <w:b/>
                <w:bCs/>
                <w:color w:val="000000"/>
                <w:szCs w:val="24"/>
              </w:rPr>
            </w:pPr>
            <w:r>
              <w:rPr>
                <w:b/>
                <w:bCs/>
                <w:color w:val="000000"/>
                <w:szCs w:val="24"/>
              </w:rPr>
              <w:t>Deklaruojančios įmonės kodas</w:t>
            </w:r>
          </w:p>
        </w:tc>
        <w:tc>
          <w:tcPr>
            <w:tcW w:w="9459"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5B320CE" w14:textId="77777777" w:rsidR="00E55C1F" w:rsidRDefault="00E55C1F">
            <w:pPr>
              <w:rPr>
                <w:b/>
                <w:bCs/>
                <w:color w:val="000000"/>
                <w:szCs w:val="24"/>
              </w:rPr>
            </w:pPr>
          </w:p>
        </w:tc>
      </w:tr>
      <w:tr w:rsidR="00E55C1F" w14:paraId="175325F5" w14:textId="77777777">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2CD49" w14:textId="77777777" w:rsidR="00E55C1F" w:rsidRDefault="008E1F26">
            <w:pPr>
              <w:rPr>
                <w:b/>
                <w:bCs/>
                <w:color w:val="000000"/>
                <w:szCs w:val="24"/>
              </w:rPr>
            </w:pPr>
            <w:r>
              <w:rPr>
                <w:b/>
                <w:bCs/>
                <w:color w:val="000000"/>
                <w:szCs w:val="24"/>
              </w:rPr>
              <w:t>3.</w:t>
            </w:r>
          </w:p>
        </w:tc>
        <w:tc>
          <w:tcPr>
            <w:tcW w:w="14263" w:type="dxa"/>
            <w:gridSpan w:val="8"/>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hideMark/>
          </w:tcPr>
          <w:p w14:paraId="09AA18F4" w14:textId="77777777" w:rsidR="00E55C1F" w:rsidRDefault="008E1F26">
            <w:pPr>
              <w:rPr>
                <w:b/>
                <w:bCs/>
                <w:color w:val="000000"/>
                <w:szCs w:val="24"/>
              </w:rPr>
            </w:pPr>
            <w:r>
              <w:rPr>
                <w:b/>
                <w:bCs/>
                <w:color w:val="000000"/>
                <w:szCs w:val="24"/>
              </w:rPr>
              <w:t>„Vienos įmonės“ apibrėžtis</w:t>
            </w:r>
          </w:p>
          <w:p w14:paraId="5D8BFB4A" w14:textId="77777777" w:rsidR="00E55C1F" w:rsidRDefault="008E1F26">
            <w:pPr>
              <w:rPr>
                <w:color w:val="000000"/>
                <w:szCs w:val="24"/>
              </w:rPr>
            </w:pPr>
            <w:r>
              <w:rPr>
                <w:color w:val="000000"/>
                <w:szCs w:val="24"/>
              </w:rPr>
              <w:t xml:space="preserve">Vadovaujantis 2023 m. gruodžio 13 d. Komisijos reglamento (ES) 2023/2831 dėl Sutarties dėl Europos Sąjungos veikimo 107 ir 108 straipsnių taikymo </w:t>
            </w:r>
            <w:r>
              <w:rPr>
                <w:i/>
                <w:color w:val="000000"/>
                <w:szCs w:val="24"/>
              </w:rPr>
              <w:t>de minimis</w:t>
            </w:r>
            <w:r>
              <w:rPr>
                <w:color w:val="000000"/>
                <w:szCs w:val="24"/>
              </w:rPr>
              <w:t xml:space="preserve"> pagalbai</w:t>
            </w:r>
            <w:r>
              <w:rPr>
                <w:szCs w:val="24"/>
              </w:rPr>
              <w:t>, Europos Komisijos reglamento (ES) Nr. 1408/2013, Europos Komisijos reglamento (ES) Nr. 717/2014 2 straipsnio 2 punktu  „viena įmonė“ apima visas įmones, kurių tarpusavio santykiai yra bent vienos rūšies iš toliau išvardytų:</w:t>
            </w:r>
            <w:r>
              <w:rPr>
                <w:szCs w:val="24"/>
              </w:rPr>
              <w:br/>
            </w:r>
            <w:r>
              <w:rPr>
                <w:color w:val="000000"/>
                <w:szCs w:val="24"/>
              </w:rP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c) pagal sutartį arba vadovaujantis steigimo sutarties ar įstatų nuostata vienai įmonei suteikiama teisė daryti kitai įmonei lemiamą įtaką;</w:t>
            </w:r>
            <w:r>
              <w:rPr>
                <w:color w:val="000000"/>
                <w:szCs w:val="24"/>
              </w:rPr>
              <w:br/>
              <w:t>d) viena įmonė, būdama kitos įmonės akcininkė arba narė, vadovaudamasi su tos įmonės kitais akcininkais ar nariais sudaryta sutartimi, viena kontroliuoja tos kitos įmonės akcininkų arba narių balsavimo teisių daugumą.</w:t>
            </w:r>
            <w:r>
              <w:rPr>
                <w:color w:val="000000"/>
                <w:szCs w:val="24"/>
              </w:rPr>
              <w:br/>
            </w:r>
            <w:r>
              <w:rPr>
                <w:color w:val="000000"/>
                <w:szCs w:val="24"/>
              </w:rPr>
              <w:br/>
              <w:t>Įmonės, kurios pirmos pastraipos a–d punktuose nurodytais santykiais yra susijusios per vieną ar daugiau kitų įmonių, taip pat laikomos „viena įmone“.</w:t>
            </w:r>
          </w:p>
          <w:p w14:paraId="5E343DFE" w14:textId="77777777" w:rsidR="00E55C1F" w:rsidRDefault="008E1F26">
            <w:pPr>
              <w:rPr>
                <w:color w:val="000000"/>
                <w:szCs w:val="24"/>
              </w:rPr>
            </w:pPr>
            <w:r>
              <w:rPr>
                <w:color w:val="000000"/>
                <w:szCs w:val="24"/>
              </w:rPr>
              <w:t xml:space="preserve">Įmonė yra bet kuris ekonominę veiklą vykdantis subjektas, kad ir koks jo teisinis statusas būtų. Visų pirma įmone laikomi savisamdžiai asmenys ir šeimos įmonės, vykdančios amatų ar kitokią veiklą, ir reguliarią ekonominę veiklą vykdančios ūkinės bendrijos arba asociacijos. </w:t>
            </w:r>
          </w:p>
          <w:p w14:paraId="153B19A2" w14:textId="77777777" w:rsidR="00E55C1F" w:rsidRDefault="008E1F26">
            <w:pPr>
              <w:jc w:val="both"/>
              <w:rPr>
                <w:color w:val="000000"/>
                <w:szCs w:val="24"/>
              </w:rPr>
            </w:pPr>
            <w:r>
              <w:rPr>
                <w:szCs w:val="24"/>
              </w:rPr>
              <w:lastRenderedPageBreak/>
              <w:t>Įmone taip pat laikomas asmuo, turintis kontrolinį akcijų paketą ir tiesiogiai / netiesiogiai dalyvaujantis įmonės valdyme (pvz., asmuo yra įmonės vadovas, valdybos narys ar akcininkas, turintis balsavimo teisę  priimant sprendimus dėl įmonės valdymo, vadovų paskyrimo, biudžeto, finansinės atskaitomybės, didelių investicijų tvirtinimo), kadangi tokia veikla yra laikytina ekonomine veikla (2006 m. sausio 10 d. Europos Sąjungos Teisingumo Teismo sprendimo byloje C-222/04 112–114 punktai).</w:t>
            </w:r>
          </w:p>
        </w:tc>
      </w:tr>
      <w:tr w:rsidR="00E55C1F" w14:paraId="2508C58E" w14:textId="77777777">
        <w:trPr>
          <w:trHeight w:val="405"/>
        </w:trPr>
        <w:tc>
          <w:tcPr>
            <w:tcW w:w="479"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hideMark/>
          </w:tcPr>
          <w:p w14:paraId="6BE3F421" w14:textId="77777777" w:rsidR="00E55C1F" w:rsidRDefault="008E1F26">
            <w:pPr>
              <w:rPr>
                <w:b/>
                <w:bCs/>
                <w:color w:val="000000"/>
                <w:szCs w:val="24"/>
              </w:rPr>
            </w:pPr>
            <w:r>
              <w:rPr>
                <w:b/>
                <w:bCs/>
                <w:color w:val="000000"/>
                <w:szCs w:val="24"/>
              </w:rPr>
              <w:lastRenderedPageBreak/>
              <w:t>4.</w:t>
            </w:r>
          </w:p>
        </w:tc>
        <w:tc>
          <w:tcPr>
            <w:tcW w:w="1426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231984CF" w14:textId="77777777" w:rsidR="00E55C1F" w:rsidRDefault="008E1F26">
            <w:pPr>
              <w:rPr>
                <w:b/>
                <w:bCs/>
                <w:color w:val="000000"/>
                <w:szCs w:val="24"/>
              </w:rPr>
            </w:pPr>
            <w:r>
              <w:rPr>
                <w:b/>
                <w:bCs/>
                <w:color w:val="000000"/>
                <w:szCs w:val="24"/>
              </w:rPr>
              <w:t>Deklaruoju, kad su deklaruojančia įmone „viena įmonė“ ryšiai sieja su šiomis įmonėmis:</w:t>
            </w:r>
          </w:p>
        </w:tc>
      </w:tr>
      <w:tr w:rsidR="00E55C1F" w14:paraId="3467A21B" w14:textId="77777777">
        <w:trPr>
          <w:trHeight w:val="288"/>
        </w:trPr>
        <w:tc>
          <w:tcPr>
            <w:tcW w:w="479" w:type="dxa"/>
            <w:vMerge/>
            <w:tcBorders>
              <w:left w:val="single" w:sz="4" w:space="0" w:color="000000" w:themeColor="text1"/>
              <w:right w:val="single" w:sz="4" w:space="0" w:color="000000" w:themeColor="text1"/>
            </w:tcBorders>
            <w:vAlign w:val="center"/>
            <w:hideMark/>
          </w:tcPr>
          <w:p w14:paraId="5C8F8F95"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A842D69" w14:textId="77777777" w:rsidR="00E55C1F" w:rsidRDefault="008E1F26">
            <w:pPr>
              <w:rPr>
                <w:color w:val="000000"/>
                <w:szCs w:val="24"/>
              </w:rPr>
            </w:pPr>
            <w:r>
              <w:rPr>
                <w:color w:val="000000"/>
                <w:szCs w:val="24"/>
              </w:rPr>
              <w:t>Eil. Nr.</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0BCEC64D" w14:textId="77777777" w:rsidR="00E55C1F" w:rsidRDefault="008E1F26">
            <w:pPr>
              <w:rPr>
                <w:color w:val="000000"/>
                <w:szCs w:val="24"/>
              </w:rPr>
            </w:pPr>
            <w:r>
              <w:rPr>
                <w:color w:val="000000"/>
                <w:szCs w:val="24"/>
              </w:rPr>
              <w:t>Įmonės kodas</w:t>
            </w: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69A3172" w14:textId="77777777" w:rsidR="00E55C1F" w:rsidRDefault="008E1F26">
            <w:pPr>
              <w:rPr>
                <w:color w:val="000000"/>
                <w:szCs w:val="24"/>
              </w:rPr>
            </w:pPr>
            <w:r>
              <w:rPr>
                <w:color w:val="000000"/>
                <w:szCs w:val="24"/>
              </w:rPr>
              <w:t>Įmonės pavadinimas</w:t>
            </w:r>
          </w:p>
        </w:tc>
      </w:tr>
      <w:tr w:rsidR="00E55C1F" w14:paraId="516CA2B4" w14:textId="77777777">
        <w:trPr>
          <w:trHeight w:val="288"/>
        </w:trPr>
        <w:tc>
          <w:tcPr>
            <w:tcW w:w="479" w:type="dxa"/>
            <w:vMerge/>
            <w:tcBorders>
              <w:left w:val="single" w:sz="4" w:space="0" w:color="000000" w:themeColor="text1"/>
              <w:right w:val="single" w:sz="4" w:space="0" w:color="000000" w:themeColor="text1"/>
            </w:tcBorders>
            <w:vAlign w:val="center"/>
            <w:hideMark/>
          </w:tcPr>
          <w:p w14:paraId="06C2A86C"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4C3FD11" w14:textId="77777777" w:rsidR="00E55C1F" w:rsidRDefault="008E1F26">
            <w:pPr>
              <w:jc w:val="center"/>
              <w:rPr>
                <w:color w:val="000000"/>
                <w:szCs w:val="24"/>
              </w:rPr>
            </w:pPr>
            <w:r>
              <w:rPr>
                <w:color w:val="000000"/>
                <w:szCs w:val="24"/>
              </w:rPr>
              <w:t>1.</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1DD05A1B"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D1D8B0F" w14:textId="77777777" w:rsidR="00E55C1F" w:rsidRDefault="00E55C1F">
            <w:pPr>
              <w:ind w:firstLine="62"/>
              <w:rPr>
                <w:color w:val="000000"/>
                <w:szCs w:val="24"/>
              </w:rPr>
            </w:pPr>
          </w:p>
        </w:tc>
      </w:tr>
      <w:tr w:rsidR="00E55C1F" w14:paraId="1A8D9D83" w14:textId="77777777">
        <w:trPr>
          <w:trHeight w:val="288"/>
        </w:trPr>
        <w:tc>
          <w:tcPr>
            <w:tcW w:w="479" w:type="dxa"/>
            <w:vMerge/>
            <w:tcBorders>
              <w:left w:val="single" w:sz="4" w:space="0" w:color="000000" w:themeColor="text1"/>
              <w:right w:val="single" w:sz="4" w:space="0" w:color="000000" w:themeColor="text1"/>
            </w:tcBorders>
            <w:vAlign w:val="center"/>
            <w:hideMark/>
          </w:tcPr>
          <w:p w14:paraId="4FAAAE94"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1F83FC7" w14:textId="77777777" w:rsidR="00E55C1F" w:rsidRDefault="008E1F26">
            <w:pPr>
              <w:jc w:val="center"/>
              <w:rPr>
                <w:color w:val="000000"/>
                <w:szCs w:val="24"/>
              </w:rPr>
            </w:pPr>
            <w:r>
              <w:rPr>
                <w:color w:val="000000"/>
                <w:szCs w:val="24"/>
              </w:rPr>
              <w:t>2.</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0BB3913C"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2D75968" w14:textId="77777777" w:rsidR="00E55C1F" w:rsidRDefault="00E55C1F">
            <w:pPr>
              <w:ind w:firstLine="62"/>
              <w:rPr>
                <w:color w:val="000000"/>
                <w:szCs w:val="24"/>
              </w:rPr>
            </w:pPr>
          </w:p>
        </w:tc>
      </w:tr>
      <w:tr w:rsidR="00E55C1F" w14:paraId="6611814A" w14:textId="77777777">
        <w:trPr>
          <w:trHeight w:val="288"/>
        </w:trPr>
        <w:tc>
          <w:tcPr>
            <w:tcW w:w="479" w:type="dxa"/>
            <w:vMerge/>
            <w:tcBorders>
              <w:left w:val="single" w:sz="4" w:space="0" w:color="000000" w:themeColor="text1"/>
              <w:right w:val="single" w:sz="4" w:space="0" w:color="000000" w:themeColor="text1"/>
            </w:tcBorders>
            <w:vAlign w:val="center"/>
            <w:hideMark/>
          </w:tcPr>
          <w:p w14:paraId="45E05CF2"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B5A7CCA" w14:textId="77777777" w:rsidR="00E55C1F" w:rsidRDefault="008E1F26">
            <w:pPr>
              <w:jc w:val="center"/>
              <w:rPr>
                <w:color w:val="000000"/>
                <w:szCs w:val="24"/>
              </w:rPr>
            </w:pPr>
            <w:r>
              <w:rPr>
                <w:color w:val="000000"/>
                <w:szCs w:val="24"/>
              </w:rPr>
              <w:t>3.</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69723928"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E07A353" w14:textId="77777777" w:rsidR="00E55C1F" w:rsidRDefault="00E55C1F">
            <w:pPr>
              <w:ind w:firstLine="62"/>
              <w:rPr>
                <w:color w:val="000000"/>
                <w:szCs w:val="24"/>
              </w:rPr>
            </w:pPr>
          </w:p>
        </w:tc>
      </w:tr>
      <w:tr w:rsidR="00E55C1F" w14:paraId="0287F3C8" w14:textId="77777777">
        <w:trPr>
          <w:trHeight w:val="288"/>
        </w:trPr>
        <w:tc>
          <w:tcPr>
            <w:tcW w:w="479" w:type="dxa"/>
            <w:vMerge/>
            <w:tcBorders>
              <w:left w:val="single" w:sz="4" w:space="0" w:color="000000" w:themeColor="text1"/>
              <w:right w:val="single" w:sz="4" w:space="0" w:color="000000" w:themeColor="text1"/>
            </w:tcBorders>
            <w:vAlign w:val="center"/>
            <w:hideMark/>
          </w:tcPr>
          <w:p w14:paraId="4899E16E"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26A01DE" w14:textId="77777777" w:rsidR="00E55C1F" w:rsidRDefault="008E1F26">
            <w:pPr>
              <w:jc w:val="center"/>
              <w:rPr>
                <w:color w:val="000000"/>
                <w:szCs w:val="24"/>
              </w:rPr>
            </w:pPr>
            <w:r>
              <w:rPr>
                <w:color w:val="000000"/>
                <w:szCs w:val="24"/>
              </w:rPr>
              <w:t>4.</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7D6715F"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8C82D8B" w14:textId="77777777" w:rsidR="00E55C1F" w:rsidRDefault="00E55C1F">
            <w:pPr>
              <w:ind w:firstLine="62"/>
              <w:rPr>
                <w:color w:val="000000"/>
                <w:szCs w:val="24"/>
              </w:rPr>
            </w:pPr>
          </w:p>
        </w:tc>
      </w:tr>
      <w:tr w:rsidR="00E55C1F" w14:paraId="5B566D37" w14:textId="77777777">
        <w:trPr>
          <w:trHeight w:val="288"/>
        </w:trPr>
        <w:tc>
          <w:tcPr>
            <w:tcW w:w="479" w:type="dxa"/>
            <w:vMerge/>
            <w:tcBorders>
              <w:left w:val="single" w:sz="4" w:space="0" w:color="000000" w:themeColor="text1"/>
              <w:right w:val="single" w:sz="4" w:space="0" w:color="000000" w:themeColor="text1"/>
            </w:tcBorders>
            <w:vAlign w:val="center"/>
            <w:hideMark/>
          </w:tcPr>
          <w:p w14:paraId="34A001AB"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96CD7EF" w14:textId="77777777" w:rsidR="00E55C1F" w:rsidRDefault="008E1F26">
            <w:pPr>
              <w:jc w:val="center"/>
              <w:rPr>
                <w:color w:val="000000"/>
                <w:szCs w:val="24"/>
              </w:rPr>
            </w:pPr>
            <w:r>
              <w:rPr>
                <w:color w:val="000000"/>
                <w:szCs w:val="24"/>
              </w:rPr>
              <w:t>5.</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5FA4E25C"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38CCB0C" w14:textId="77777777" w:rsidR="00E55C1F" w:rsidRDefault="00E55C1F">
            <w:pPr>
              <w:ind w:firstLine="62"/>
              <w:rPr>
                <w:color w:val="000000"/>
                <w:szCs w:val="24"/>
              </w:rPr>
            </w:pPr>
          </w:p>
        </w:tc>
      </w:tr>
      <w:tr w:rsidR="00E55C1F" w14:paraId="5D13F014" w14:textId="77777777">
        <w:trPr>
          <w:trHeight w:val="288"/>
        </w:trPr>
        <w:tc>
          <w:tcPr>
            <w:tcW w:w="479" w:type="dxa"/>
            <w:vMerge/>
            <w:tcBorders>
              <w:left w:val="single" w:sz="4" w:space="0" w:color="000000" w:themeColor="text1"/>
              <w:right w:val="single" w:sz="4" w:space="0" w:color="000000" w:themeColor="text1"/>
            </w:tcBorders>
            <w:vAlign w:val="center"/>
            <w:hideMark/>
          </w:tcPr>
          <w:p w14:paraId="1DA8B95D"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CDBEB37" w14:textId="77777777" w:rsidR="00E55C1F" w:rsidRDefault="008E1F26">
            <w:pPr>
              <w:jc w:val="center"/>
              <w:rPr>
                <w:color w:val="000000"/>
                <w:szCs w:val="24"/>
              </w:rPr>
            </w:pPr>
            <w:r>
              <w:rPr>
                <w:color w:val="000000"/>
                <w:szCs w:val="24"/>
              </w:rPr>
              <w:t>6.</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BDB934B"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1AE76E4" w14:textId="77777777" w:rsidR="00E55C1F" w:rsidRDefault="00E55C1F">
            <w:pPr>
              <w:ind w:firstLine="62"/>
              <w:rPr>
                <w:color w:val="000000"/>
                <w:szCs w:val="24"/>
              </w:rPr>
            </w:pPr>
          </w:p>
        </w:tc>
      </w:tr>
      <w:tr w:rsidR="00E55C1F" w14:paraId="3DF52991" w14:textId="77777777">
        <w:trPr>
          <w:trHeight w:val="288"/>
        </w:trPr>
        <w:tc>
          <w:tcPr>
            <w:tcW w:w="479" w:type="dxa"/>
            <w:vMerge/>
            <w:tcBorders>
              <w:left w:val="single" w:sz="4" w:space="0" w:color="000000" w:themeColor="text1"/>
              <w:right w:val="single" w:sz="4" w:space="0" w:color="000000" w:themeColor="text1"/>
            </w:tcBorders>
            <w:vAlign w:val="center"/>
            <w:hideMark/>
          </w:tcPr>
          <w:p w14:paraId="60EE14A4" w14:textId="77777777" w:rsidR="00E55C1F" w:rsidRDefault="00E55C1F">
            <w:pPr>
              <w:rPr>
                <w:b/>
                <w:bCs/>
                <w:color w:val="000000"/>
                <w:szCs w:val="24"/>
              </w:rPr>
            </w:pPr>
          </w:p>
        </w:tc>
        <w:tc>
          <w:tcPr>
            <w:tcW w:w="556" w:type="dxa"/>
            <w:tcBorders>
              <w:top w:val="nil"/>
              <w:left w:val="single" w:sz="4" w:space="0" w:color="000000" w:themeColor="text1"/>
              <w:bottom w:val="single" w:sz="4" w:space="0" w:color="auto"/>
              <w:right w:val="single" w:sz="4" w:space="0" w:color="000000" w:themeColor="text1"/>
            </w:tcBorders>
            <w:shd w:val="clear" w:color="auto" w:fill="auto"/>
            <w:noWrap/>
            <w:hideMark/>
          </w:tcPr>
          <w:p w14:paraId="289ACE91" w14:textId="77777777" w:rsidR="00E55C1F" w:rsidRDefault="008E1F26">
            <w:pPr>
              <w:jc w:val="center"/>
              <w:rPr>
                <w:color w:val="000000"/>
                <w:szCs w:val="24"/>
              </w:rPr>
            </w:pPr>
            <w:r>
              <w:rPr>
                <w:color w:val="000000"/>
                <w:szCs w:val="24"/>
              </w:rPr>
              <w:t>7.</w:t>
            </w:r>
          </w:p>
        </w:tc>
        <w:tc>
          <w:tcPr>
            <w:tcW w:w="3076" w:type="dxa"/>
            <w:tcBorders>
              <w:top w:val="nil"/>
              <w:left w:val="nil"/>
              <w:bottom w:val="single" w:sz="4" w:space="0" w:color="auto"/>
              <w:right w:val="single" w:sz="4" w:space="0" w:color="000000" w:themeColor="text1"/>
            </w:tcBorders>
            <w:shd w:val="clear" w:color="auto" w:fill="auto"/>
            <w:noWrap/>
            <w:vAlign w:val="bottom"/>
            <w:hideMark/>
          </w:tcPr>
          <w:p w14:paraId="55F3553C"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7319C05A" w14:textId="77777777" w:rsidR="00E55C1F" w:rsidRDefault="00E55C1F">
            <w:pPr>
              <w:ind w:firstLine="62"/>
              <w:rPr>
                <w:color w:val="000000"/>
                <w:szCs w:val="24"/>
              </w:rPr>
            </w:pPr>
          </w:p>
        </w:tc>
      </w:tr>
      <w:tr w:rsidR="00E55C1F" w14:paraId="2DBB73A8" w14:textId="77777777">
        <w:trPr>
          <w:trHeight w:val="288"/>
        </w:trPr>
        <w:tc>
          <w:tcPr>
            <w:tcW w:w="479" w:type="dxa"/>
            <w:vMerge/>
            <w:tcBorders>
              <w:left w:val="single" w:sz="4" w:space="0" w:color="000000" w:themeColor="text1"/>
              <w:right w:val="single" w:sz="4" w:space="0" w:color="000000" w:themeColor="text1"/>
            </w:tcBorders>
            <w:vAlign w:val="center"/>
            <w:hideMark/>
          </w:tcPr>
          <w:p w14:paraId="014876AC" w14:textId="77777777" w:rsidR="00E55C1F" w:rsidRDefault="00E55C1F">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53FD538A" w14:textId="77777777" w:rsidR="00E55C1F" w:rsidRDefault="008E1F26">
            <w:pPr>
              <w:jc w:val="center"/>
              <w:rPr>
                <w:color w:val="000000"/>
                <w:szCs w:val="24"/>
              </w:rPr>
            </w:pPr>
            <w:r>
              <w:rPr>
                <w:color w:val="000000"/>
                <w:szCs w:val="24"/>
              </w:rPr>
              <w:t>8.</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B1AC" w14:textId="77777777" w:rsidR="00E55C1F" w:rsidRDefault="00E55C1F">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55FEDEF0" w14:textId="77777777" w:rsidR="00E55C1F" w:rsidRDefault="00E55C1F">
            <w:pPr>
              <w:ind w:firstLine="62"/>
              <w:rPr>
                <w:color w:val="000000"/>
                <w:szCs w:val="24"/>
              </w:rPr>
            </w:pPr>
          </w:p>
        </w:tc>
      </w:tr>
      <w:tr w:rsidR="00E55C1F" w14:paraId="531A87B2" w14:textId="77777777">
        <w:trPr>
          <w:trHeight w:val="288"/>
        </w:trPr>
        <w:tc>
          <w:tcPr>
            <w:tcW w:w="479" w:type="dxa"/>
            <w:vMerge/>
            <w:tcBorders>
              <w:left w:val="single" w:sz="4" w:space="0" w:color="000000" w:themeColor="text1"/>
              <w:right w:val="single" w:sz="4" w:space="0" w:color="000000" w:themeColor="text1"/>
            </w:tcBorders>
            <w:vAlign w:val="center"/>
            <w:hideMark/>
          </w:tcPr>
          <w:p w14:paraId="0B50BF0A" w14:textId="77777777" w:rsidR="00E55C1F" w:rsidRDefault="00E55C1F">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33BD8F4B" w14:textId="77777777" w:rsidR="00E55C1F" w:rsidRDefault="008E1F26">
            <w:pPr>
              <w:jc w:val="center"/>
              <w:rPr>
                <w:color w:val="000000"/>
                <w:szCs w:val="24"/>
              </w:rPr>
            </w:pPr>
            <w:r>
              <w:rPr>
                <w:color w:val="000000"/>
                <w:szCs w:val="24"/>
              </w:rPr>
              <w:t>9.</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EED9E" w14:textId="77777777" w:rsidR="00E55C1F" w:rsidRDefault="00E55C1F">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455E70CF" w14:textId="77777777" w:rsidR="00E55C1F" w:rsidRDefault="00E55C1F">
            <w:pPr>
              <w:ind w:firstLine="62"/>
              <w:rPr>
                <w:color w:val="000000"/>
                <w:szCs w:val="24"/>
              </w:rPr>
            </w:pPr>
          </w:p>
        </w:tc>
      </w:tr>
      <w:tr w:rsidR="00E55C1F" w14:paraId="59A41C6E" w14:textId="77777777">
        <w:trPr>
          <w:trHeight w:val="555"/>
        </w:trPr>
        <w:tc>
          <w:tcPr>
            <w:tcW w:w="479" w:type="dxa"/>
            <w:vMerge/>
            <w:tcBorders>
              <w:left w:val="single" w:sz="4" w:space="0" w:color="000000" w:themeColor="text1"/>
              <w:right w:val="single" w:sz="4" w:space="0" w:color="000000" w:themeColor="text1"/>
            </w:tcBorders>
            <w:vAlign w:val="center"/>
            <w:hideMark/>
          </w:tcPr>
          <w:p w14:paraId="3BD490FB" w14:textId="77777777" w:rsidR="00E55C1F" w:rsidRDefault="00E55C1F">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14:paraId="64CAB470" w14:textId="77777777" w:rsidR="00E55C1F" w:rsidRDefault="008E1F26">
            <w:pPr>
              <w:jc w:val="center"/>
              <w:rPr>
                <w:color w:val="000000"/>
                <w:szCs w:val="24"/>
              </w:rPr>
            </w:pPr>
            <w:r>
              <w:rPr>
                <w:color w:val="000000"/>
                <w:szCs w:val="24"/>
              </w:rPr>
              <w:t>10.</w:t>
            </w:r>
          </w:p>
        </w:tc>
        <w:tc>
          <w:tcPr>
            <w:tcW w:w="3076"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14:paraId="4F7922EC"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753DA9B3" w14:textId="77777777" w:rsidR="00E55C1F" w:rsidRDefault="00E55C1F">
            <w:pPr>
              <w:ind w:firstLine="62"/>
              <w:rPr>
                <w:color w:val="000000"/>
                <w:szCs w:val="24"/>
              </w:rPr>
            </w:pPr>
          </w:p>
        </w:tc>
      </w:tr>
      <w:tr w:rsidR="00E55C1F" w14:paraId="3A966156" w14:textId="77777777">
        <w:trPr>
          <w:trHeight w:val="555"/>
        </w:trPr>
        <w:tc>
          <w:tcPr>
            <w:tcW w:w="479" w:type="dxa"/>
            <w:vMerge/>
            <w:tcBorders>
              <w:left w:val="single" w:sz="4" w:space="0" w:color="000000" w:themeColor="text1"/>
              <w:right w:val="single" w:sz="4" w:space="0" w:color="000000" w:themeColor="text1"/>
            </w:tcBorders>
            <w:vAlign w:val="center"/>
            <w:hideMark/>
          </w:tcPr>
          <w:p w14:paraId="07E39117"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041CCC3" w14:textId="77777777" w:rsidR="00E55C1F" w:rsidRDefault="008E1F26">
            <w:pPr>
              <w:jc w:val="center"/>
              <w:rPr>
                <w:color w:val="000000"/>
                <w:szCs w:val="24"/>
              </w:rPr>
            </w:pPr>
            <w:r>
              <w:rPr>
                <w:color w:val="000000"/>
                <w:szCs w:val="24"/>
              </w:rPr>
              <w:t>11.</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37593187"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73CDD5F7" w14:textId="77777777" w:rsidR="00E55C1F" w:rsidRDefault="00E55C1F">
            <w:pPr>
              <w:ind w:firstLine="62"/>
              <w:rPr>
                <w:color w:val="000000"/>
                <w:szCs w:val="24"/>
              </w:rPr>
            </w:pPr>
          </w:p>
        </w:tc>
      </w:tr>
      <w:tr w:rsidR="00E55C1F" w14:paraId="499D3620" w14:textId="77777777">
        <w:trPr>
          <w:trHeight w:val="288"/>
        </w:trPr>
        <w:tc>
          <w:tcPr>
            <w:tcW w:w="479" w:type="dxa"/>
            <w:vMerge/>
            <w:tcBorders>
              <w:left w:val="single" w:sz="4" w:space="0" w:color="000000" w:themeColor="text1"/>
              <w:bottom w:val="single" w:sz="4" w:space="0" w:color="000000" w:themeColor="text1"/>
              <w:right w:val="single" w:sz="4" w:space="0" w:color="000000" w:themeColor="text1"/>
            </w:tcBorders>
            <w:vAlign w:val="center"/>
          </w:tcPr>
          <w:p w14:paraId="3620FCC8" w14:textId="77777777" w:rsidR="00E55C1F" w:rsidRDefault="00E55C1F">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2A8E44A6" w14:textId="77777777" w:rsidR="00E55C1F" w:rsidRDefault="00E55C1F">
            <w:pPr>
              <w:jc w:val="center"/>
              <w:rPr>
                <w:color w:val="000000"/>
                <w:szCs w:val="24"/>
              </w:rPr>
            </w:pPr>
          </w:p>
        </w:tc>
        <w:tc>
          <w:tcPr>
            <w:tcW w:w="3076" w:type="dxa"/>
            <w:tcBorders>
              <w:top w:val="nil"/>
              <w:left w:val="nil"/>
              <w:bottom w:val="single" w:sz="4" w:space="0" w:color="000000" w:themeColor="text1"/>
              <w:right w:val="single" w:sz="4" w:space="0" w:color="000000" w:themeColor="text1"/>
            </w:tcBorders>
            <w:shd w:val="clear" w:color="auto" w:fill="auto"/>
            <w:noWrap/>
            <w:vAlign w:val="bottom"/>
          </w:tcPr>
          <w:p w14:paraId="2EEC4C6D" w14:textId="77777777" w:rsidR="00E55C1F" w:rsidRDefault="00E55C1F">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3A3CCD50" w14:textId="77777777" w:rsidR="00E55C1F" w:rsidRDefault="00E55C1F">
            <w:pPr>
              <w:ind w:firstLine="62"/>
              <w:rPr>
                <w:color w:val="000000"/>
                <w:szCs w:val="24"/>
              </w:rPr>
            </w:pPr>
          </w:p>
        </w:tc>
      </w:tr>
      <w:tr w:rsidR="00E55C1F" w14:paraId="381089DC" w14:textId="77777777">
        <w:trPr>
          <w:trHeight w:val="288"/>
        </w:trPr>
        <w:tc>
          <w:tcPr>
            <w:tcW w:w="14742" w:type="dxa"/>
            <w:gridSpan w:val="9"/>
            <w:tcBorders>
              <w:top w:val="single" w:sz="4" w:space="0" w:color="000000" w:themeColor="text1"/>
              <w:left w:val="nil"/>
              <w:bottom w:val="single" w:sz="4" w:space="0" w:color="000000" w:themeColor="text1"/>
              <w:right w:val="nil"/>
            </w:tcBorders>
            <w:shd w:val="clear" w:color="auto" w:fill="auto"/>
            <w:noWrap/>
            <w:vAlign w:val="bottom"/>
            <w:hideMark/>
          </w:tcPr>
          <w:p w14:paraId="2F324F14" w14:textId="77777777" w:rsidR="00E55C1F" w:rsidRDefault="00E55C1F">
            <w:pPr>
              <w:ind w:firstLine="62"/>
              <w:rPr>
                <w:color w:val="000000"/>
                <w:szCs w:val="24"/>
              </w:rPr>
            </w:pPr>
          </w:p>
        </w:tc>
      </w:tr>
      <w:tr w:rsidR="00E55C1F" w14:paraId="3744AA1F" w14:textId="77777777">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D857D5C" w14:textId="77777777" w:rsidR="00E55C1F" w:rsidRDefault="008E1F26">
            <w:pPr>
              <w:rPr>
                <w:b/>
                <w:bCs/>
                <w:color w:val="000000"/>
                <w:szCs w:val="24"/>
              </w:rPr>
            </w:pPr>
            <w:r>
              <w:rPr>
                <w:b/>
                <w:bCs/>
                <w:color w:val="000000"/>
                <w:szCs w:val="24"/>
              </w:rPr>
              <w:t>5.</w:t>
            </w:r>
          </w:p>
        </w:tc>
        <w:tc>
          <w:tcPr>
            <w:tcW w:w="14263" w:type="dxa"/>
            <w:gridSpan w:val="8"/>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3527145B" w14:textId="77777777" w:rsidR="00E55C1F" w:rsidRDefault="008E1F26">
            <w:pPr>
              <w:rPr>
                <w:color w:val="000000"/>
                <w:szCs w:val="24"/>
              </w:rPr>
            </w:pPr>
            <w:r>
              <w:rPr>
                <w:color w:val="000000"/>
                <w:szCs w:val="24"/>
              </w:rPr>
              <w:t>Aš, toliau pasirašęs, patvirtinu, kad deklaracijoje pateikti duomenys yra teisingi ir į deklaraciją yra įtrauktos visos įmonės, kurias ryšiai sieja su paraiškėja „viena įmone“.</w:t>
            </w:r>
          </w:p>
        </w:tc>
      </w:tr>
      <w:tr w:rsidR="00E55C1F" w14:paraId="0E8FFE74" w14:textId="77777777">
        <w:trPr>
          <w:gridAfter w:val="1"/>
          <w:wAfter w:w="3039" w:type="dxa"/>
          <w:trHeight w:val="585"/>
        </w:trPr>
        <w:tc>
          <w:tcPr>
            <w:tcW w:w="479" w:type="dxa"/>
            <w:tcBorders>
              <w:top w:val="nil"/>
              <w:left w:val="nil"/>
              <w:right w:val="nil"/>
            </w:tcBorders>
            <w:shd w:val="clear" w:color="auto" w:fill="auto"/>
            <w:noWrap/>
            <w:vAlign w:val="center"/>
            <w:hideMark/>
          </w:tcPr>
          <w:p w14:paraId="603F308A" w14:textId="77777777" w:rsidR="00E55C1F" w:rsidRDefault="00E55C1F">
            <w:pPr>
              <w:rPr>
                <w:color w:val="000000"/>
                <w:szCs w:val="24"/>
              </w:rPr>
            </w:pPr>
          </w:p>
        </w:tc>
        <w:tc>
          <w:tcPr>
            <w:tcW w:w="3632" w:type="dxa"/>
            <w:gridSpan w:val="2"/>
            <w:tcBorders>
              <w:top w:val="single" w:sz="4" w:space="0" w:color="000000" w:themeColor="text1"/>
              <w:left w:val="nil"/>
              <w:right w:val="nil"/>
            </w:tcBorders>
            <w:shd w:val="clear" w:color="auto" w:fill="auto"/>
            <w:noWrap/>
            <w:vAlign w:val="bottom"/>
            <w:hideMark/>
          </w:tcPr>
          <w:p w14:paraId="733610B2" w14:textId="77777777" w:rsidR="00E55C1F" w:rsidRDefault="00E55C1F">
            <w:pPr>
              <w:ind w:firstLine="62"/>
              <w:rPr>
                <w:color w:val="000000"/>
                <w:szCs w:val="24"/>
              </w:rPr>
            </w:pPr>
          </w:p>
        </w:tc>
        <w:tc>
          <w:tcPr>
            <w:tcW w:w="4757" w:type="dxa"/>
            <w:gridSpan w:val="2"/>
            <w:tcBorders>
              <w:top w:val="nil"/>
              <w:left w:val="nil"/>
              <w:right w:val="nil"/>
            </w:tcBorders>
            <w:shd w:val="clear" w:color="auto" w:fill="auto"/>
            <w:vAlign w:val="bottom"/>
            <w:hideMark/>
          </w:tcPr>
          <w:p w14:paraId="7C2B7273" w14:textId="77777777" w:rsidR="00E55C1F" w:rsidRDefault="00E55C1F">
            <w:pPr>
              <w:ind w:firstLine="62"/>
              <w:rPr>
                <w:color w:val="000000"/>
                <w:szCs w:val="24"/>
              </w:rPr>
            </w:pPr>
          </w:p>
        </w:tc>
        <w:tc>
          <w:tcPr>
            <w:tcW w:w="2835" w:type="dxa"/>
            <w:gridSpan w:val="3"/>
            <w:tcBorders>
              <w:top w:val="single" w:sz="4" w:space="0" w:color="000000" w:themeColor="text1"/>
              <w:left w:val="nil"/>
              <w:right w:val="nil"/>
            </w:tcBorders>
            <w:shd w:val="clear" w:color="auto" w:fill="auto"/>
            <w:noWrap/>
            <w:vAlign w:val="bottom"/>
            <w:hideMark/>
          </w:tcPr>
          <w:p w14:paraId="29D2944C" w14:textId="77777777" w:rsidR="00E55C1F" w:rsidRDefault="00E55C1F">
            <w:pPr>
              <w:ind w:firstLine="62"/>
              <w:rPr>
                <w:color w:val="000000"/>
                <w:szCs w:val="24"/>
              </w:rPr>
            </w:pPr>
          </w:p>
        </w:tc>
      </w:tr>
      <w:tr w:rsidR="00E55C1F" w14:paraId="1B391BD4" w14:textId="77777777">
        <w:trPr>
          <w:gridAfter w:val="1"/>
          <w:wAfter w:w="3039" w:type="dxa"/>
          <w:trHeight w:val="288"/>
        </w:trPr>
        <w:tc>
          <w:tcPr>
            <w:tcW w:w="4111" w:type="dxa"/>
            <w:gridSpan w:val="3"/>
            <w:shd w:val="clear" w:color="auto" w:fill="auto"/>
            <w:noWrap/>
            <w:vAlign w:val="bottom"/>
            <w:hideMark/>
          </w:tcPr>
          <w:p w14:paraId="45216F9F" w14:textId="77777777" w:rsidR="00E55C1F" w:rsidRDefault="008E1F26">
            <w:pPr>
              <w:ind w:firstLine="62"/>
              <w:rPr>
                <w:color w:val="000000"/>
                <w:szCs w:val="24"/>
              </w:rPr>
            </w:pPr>
            <w:r>
              <w:rPr>
                <w:noProof/>
                <w:color w:val="000000"/>
                <w:szCs w:val="24"/>
                <w:lang w:eastAsia="lt-LT"/>
              </w:rPr>
              <mc:AlternateContent>
                <mc:Choice Requires="wps">
                  <w:drawing>
                    <wp:anchor distT="0" distB="0" distL="114300" distR="114300" simplePos="0" relativeHeight="251659264" behindDoc="0" locked="0" layoutInCell="1" allowOverlap="1" wp14:anchorId="33FE4353" wp14:editId="3C69A410">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taisx="http://lrs.lt/TAIS/DocPartXmlMarks">
                  <w:pict>
                    <v:line w14:anchorId="67EFC1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gy5IswEAAFkDAAAOAAAAZHJzL2Uyb0RvYy54bWysU01v2zAMvQ/YfxB0X+R6aBEYcXpo0F2G rcC6H8DqwxagL4hanPz7UUqaZt1tmA8yJYqPfOTT5v7gHdvrjDaGkd+sOs50kFHZMI385/PjpzVn WCAocDHokR818vvtxw+bJQ26j3N0SmdGIAGHJY18LiUNQqCctQdcxaQDOU3MHgpt8yRUhoXQvRN9 192JJWaVcpQakU53JyffNnxjtCzfjUFdmBs51Vbamtv6Ulex3cAwZUizlecy4B+q8GADJb1A7aAA +5XtX1DeyhwxmrKS0YtojJW6cSA2N907Nj9mSLpxoeZgurQJ/x+s/LZ/CE+Z2rAkHDA95criYLKv f6qPHVqzjpdm6UNhkg77rl+v+1vO5KtPvAWmjOWLjp5VY+TOhsoDBth/xULJ6OrrlXoc4qN1rs3C BbaM/O7zLU1LAinCOChk+qRGjmHiDNxEUpMlN0SMzqoaXXHwiA8usz3QtEkkKi7PVC5nDrCQgzi0 r06dKvgjtJazA5xPwc11Eoe3hRTqrB/5+jrahZpRN42dSb21sFovUR1bZ0Xd0fxa0rPWqkCu92Rf v4jtbwAAAP//AwBQSwMEFAAGAAgAAAAhAJus5ubdAAAACAEAAA8AAABkcnMvZG93bnJldi54bWxM j81uwjAQhO+VeAdrkXoDh0YKVRoHIRCH3mhKpR5NvPmBeB3FDqRv3616aE+r2RnNfpttJtuJGw6+ daRgtYxAIJXOtFQrOL0fFs8gfNBkdOcIFXyhh00+e8h0atyd3vBWhFpwCflUK2hC6FMpfdmg1X7p eiT2KjdYHVgOtTSDvnO57eRTFCXS6pb4QqN73DVYXovRKhiPuypqD/F0+YwLOb6ujx/7qlbqcT5t X0AEnMJfGH7wGR1yZjq7kYwXHev1ipMKFglP9uM4SUCcfxcyz+T/B/JvAAAA//8DAFBLAQItABQA BgAIAAAAIQC2gziS/gAAAOEBAAATAAAAAAAAAAAAAAAAAAAAAABbQ29udGVudF9UeXBlc10ueG1s UEsBAi0AFAAGAAgAAAAhADj9If/WAAAAlAEAAAsAAAAAAAAAAAAAAAAALwEAAF9yZWxzLy5yZWxz UEsBAi0AFAAGAAgAAAAhAKmDLkizAQAAWQMAAA4AAAAAAAAAAAAAAAAALgIAAGRycy9lMm9Eb2Mu eG1sUEsBAi0AFAAGAAgAAAAhAJus5ubdAAAACAEAAA8AAAAAAAAAAAAAAAAADQQAAGRycy9kb3du cmV2LnhtbFBLBQYAAAAABAAEAPMAAAAXBQAAAAA= " strokecolor="windowText" strokeweight=".5pt">
                      <v:stroke joinstyle="miter"/>
                    </v:line>
                  </w:pict>
                </mc:Fallback>
              </mc:AlternateContent>
            </w:r>
          </w:p>
        </w:tc>
        <w:tc>
          <w:tcPr>
            <w:tcW w:w="4757" w:type="dxa"/>
            <w:gridSpan w:val="2"/>
            <w:shd w:val="clear" w:color="auto" w:fill="auto"/>
            <w:noWrap/>
            <w:vAlign w:val="bottom"/>
            <w:hideMark/>
          </w:tcPr>
          <w:p w14:paraId="2EC40B8B" w14:textId="77777777" w:rsidR="00E55C1F" w:rsidRDefault="008E1F26">
            <w:pPr>
              <w:ind w:firstLine="62"/>
              <w:rPr>
                <w:color w:val="000000"/>
                <w:szCs w:val="24"/>
              </w:rPr>
            </w:pPr>
            <w:r>
              <w:rPr>
                <w:noProof/>
                <w:color w:val="000000"/>
                <w:szCs w:val="24"/>
                <w:lang w:eastAsia="lt-LT"/>
              </w:rPr>
              <mc:AlternateContent>
                <mc:Choice Requires="wps">
                  <w:drawing>
                    <wp:anchor distT="0" distB="0" distL="114300" distR="114300" simplePos="0" relativeHeight="251660288" behindDoc="0" locked="0" layoutInCell="1" allowOverlap="1" wp14:anchorId="3BC7DCA5" wp14:editId="7D686FD1">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taisx="http://lrs.lt/TAIS/DocPartXmlMarks">
                  <w:pict>
                    <v:line w14:anchorId="6D88051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rvQvAEAAGYDAAAOAAAAZHJzL2Uyb0RvYy54bWysU01v2zAMvQ/YfxB0b+SkSNYZcXpo0F2G rcDa3VlZsgXoC6IWJ/9+lJxl2XYb6oNAieIT3+Pz9v7oLDuohCb4ji8XDWfKy9AbP3T85fnx5o4z zOB7sMGrjp8U8vvd+3fbKbZqFcZge5UYgXhsp9jxMefYCoFyVA5wEaLylNQhOci0TYPoE0yE7qxY Nc1GTCH1MQWpEOl0Pyf5ruJrrWT+qjWqzGzHqbdc11TX17KK3RbaIUEcjTy3Af/RhQPj6dEL1B4y sB/J/APljEwBg84LGZwIWhupKgdis2z+YvNthKgqFxIH40UmfDtY+eXw4J8SyTBFbDE+pcLiqJNj 2pr4nWZaeVGn7FhlO11kU8fMJB0ubz8sNw2pKyn3cb1aF1XFjFLQYsL8SQXHStBxa3whBS0cPmOe r/66Uo59eDTW1sFYz6aOb27XBRzIHtpCptDFvuPoB87ADuQ7mVNFxGBNX6oLDp7wwSZ2ABo9OaYP 0zN1zJkFzJQgGvU7N/tHaWlnDzjOxTU1O8WZTHa1xnX87rra+vKiqoY7k/qtZ4leQ3+qMouyo2FW hc7GK2653lN8/XvsfgIAAP//AwBQSwMEFAAGAAgAAAAhAJAjcB/cAAAABgEAAA8AAABkcnMvZG93 bnJldi54bWxMj8FOwzAQRO9I/IO1SNyo0xShKMSpEAj1BiJQRG/b2MQR9jqKnTbl61lOcHya1czb aj17Jw5mjH0gBctFBsJQG3RPnYK318erAkRMSBpdIKPgZCKs6/OzCksdjvRiDk3qBJdQLFGBTWko pYytNR7jIgyGOPsMo8fEOHZSj3jkcu9knmU30mNPvGBxMPfWtF/N5BXsnuxmg7tpOz+/n5bfH9I1 /cNWqcuL+e4WRDJz+juGX31Wh5qd9mEiHYVjzvmVpGC1AsFxnhfMewXXBci6kv/16x8AAAD//wMA UEsBAi0AFAAGAAgAAAAhALaDOJL+AAAA4QEAABMAAAAAAAAAAAAAAAAAAAAAAFtDb250ZW50X1R5 cGVzXS54bWxQSwECLQAUAAYACAAAACEAOP0h/9YAAACUAQAACwAAAAAAAAAAAAAAAAAvAQAAX3Jl bHMvLnJlbHNQSwECLQAUAAYACAAAACEAhr670LwBAABmAwAADgAAAAAAAAAAAAAAAAAuAgAAZHJz L2Uyb0RvYy54bWxQSwECLQAUAAYACAAAACEAkCNwH9wAAAAGAQAADwAAAAAAAAAAAAAAAAAWBAAA ZHJzL2Rvd25yZXYueG1sUEsFBgAAAAAEAAQA8wAAAB8FAAAAAA== " strokecolor="windowText" strokeweight=".5pt">
                      <v:stroke joinstyle="miter"/>
                    </v:line>
                  </w:pict>
                </mc:Fallback>
              </mc:AlternateContent>
            </w:r>
          </w:p>
        </w:tc>
        <w:tc>
          <w:tcPr>
            <w:tcW w:w="2835" w:type="dxa"/>
            <w:gridSpan w:val="3"/>
            <w:shd w:val="clear" w:color="auto" w:fill="auto"/>
            <w:noWrap/>
            <w:vAlign w:val="bottom"/>
            <w:hideMark/>
          </w:tcPr>
          <w:p w14:paraId="31FB92BD" w14:textId="77777777" w:rsidR="00E55C1F" w:rsidRDefault="00E55C1F">
            <w:pPr>
              <w:ind w:firstLine="62"/>
              <w:rPr>
                <w:color w:val="000000"/>
                <w:szCs w:val="24"/>
              </w:rPr>
            </w:pPr>
          </w:p>
        </w:tc>
      </w:tr>
      <w:tr w:rsidR="00E55C1F" w14:paraId="374EADB5" w14:textId="77777777">
        <w:trPr>
          <w:gridAfter w:val="1"/>
          <w:wAfter w:w="3039" w:type="dxa"/>
          <w:trHeight w:val="288"/>
        </w:trPr>
        <w:tc>
          <w:tcPr>
            <w:tcW w:w="4111" w:type="dxa"/>
            <w:gridSpan w:val="3"/>
            <w:shd w:val="clear" w:color="auto" w:fill="auto"/>
            <w:noWrap/>
            <w:vAlign w:val="center"/>
          </w:tcPr>
          <w:p w14:paraId="78ED4C35" w14:textId="77777777" w:rsidR="00E55C1F" w:rsidRDefault="008E1F26">
            <w:pPr>
              <w:jc w:val="center"/>
              <w:rPr>
                <w:color w:val="000000"/>
                <w:szCs w:val="24"/>
              </w:rPr>
            </w:pPr>
            <w:r>
              <w:rPr>
                <w:color w:val="000000"/>
                <w:szCs w:val="24"/>
              </w:rPr>
              <w:t>(pareigos, vardas pavardė)</w:t>
            </w:r>
          </w:p>
        </w:tc>
        <w:tc>
          <w:tcPr>
            <w:tcW w:w="4757" w:type="dxa"/>
            <w:gridSpan w:val="2"/>
            <w:shd w:val="clear" w:color="auto" w:fill="auto"/>
            <w:noWrap/>
            <w:vAlign w:val="center"/>
          </w:tcPr>
          <w:p w14:paraId="4291964C" w14:textId="77777777" w:rsidR="00E55C1F" w:rsidRDefault="008E1F26">
            <w:pPr>
              <w:ind w:firstLine="868"/>
              <w:rPr>
                <w:color w:val="000000"/>
                <w:szCs w:val="24"/>
                <w:lang w:eastAsia="lt-LT"/>
              </w:rPr>
            </w:pPr>
            <w:r>
              <w:rPr>
                <w:color w:val="000000"/>
                <w:szCs w:val="24"/>
              </w:rPr>
              <w:t>(parašas)</w:t>
            </w:r>
            <w:r>
              <w:rPr>
                <w:color w:val="000000"/>
                <w:szCs w:val="24"/>
                <w:lang w:eastAsia="lt-LT"/>
              </w:rPr>
              <w:t xml:space="preserve"> </w:t>
            </w:r>
          </w:p>
        </w:tc>
        <w:tc>
          <w:tcPr>
            <w:tcW w:w="2835" w:type="dxa"/>
            <w:gridSpan w:val="3"/>
            <w:tcBorders>
              <w:right w:val="nil"/>
            </w:tcBorders>
            <w:shd w:val="clear" w:color="auto" w:fill="auto"/>
            <w:noWrap/>
            <w:vAlign w:val="bottom"/>
          </w:tcPr>
          <w:p w14:paraId="663FC3FD" w14:textId="77777777" w:rsidR="00E55C1F" w:rsidRDefault="00E55C1F">
            <w:pPr>
              <w:jc w:val="center"/>
              <w:rPr>
                <w:color w:val="000000"/>
                <w:szCs w:val="24"/>
              </w:rPr>
            </w:pPr>
          </w:p>
        </w:tc>
      </w:tr>
      <w:tr w:rsidR="00E55C1F" w14:paraId="465937F4" w14:textId="77777777">
        <w:trPr>
          <w:gridAfter w:val="1"/>
          <w:wAfter w:w="3039" w:type="dxa"/>
          <w:trHeight w:val="288"/>
        </w:trPr>
        <w:tc>
          <w:tcPr>
            <w:tcW w:w="4111" w:type="dxa"/>
            <w:gridSpan w:val="3"/>
            <w:shd w:val="clear" w:color="auto" w:fill="auto"/>
            <w:noWrap/>
            <w:vAlign w:val="center"/>
            <w:hideMark/>
          </w:tcPr>
          <w:p w14:paraId="606AC8B3" w14:textId="77777777" w:rsidR="00E55C1F" w:rsidRDefault="00E55C1F">
            <w:pPr>
              <w:jc w:val="center"/>
              <w:rPr>
                <w:color w:val="000000"/>
                <w:szCs w:val="24"/>
              </w:rPr>
            </w:pPr>
          </w:p>
        </w:tc>
        <w:tc>
          <w:tcPr>
            <w:tcW w:w="4757" w:type="dxa"/>
            <w:gridSpan w:val="2"/>
            <w:shd w:val="clear" w:color="auto" w:fill="auto"/>
            <w:noWrap/>
            <w:vAlign w:val="center"/>
            <w:hideMark/>
          </w:tcPr>
          <w:p w14:paraId="7BA273F5" w14:textId="77777777" w:rsidR="00E55C1F" w:rsidRDefault="008E1F26">
            <w:pPr>
              <w:spacing w:line="276" w:lineRule="auto"/>
              <w:jc w:val="center"/>
              <w:rPr>
                <w:rFonts w:eastAsia="Calibri"/>
                <w:szCs w:val="24"/>
              </w:rPr>
            </w:pPr>
            <w:r>
              <w:rPr>
                <w:rFonts w:eastAsia="Calibri"/>
                <w:szCs w:val="24"/>
              </w:rPr>
              <w:t>________________</w:t>
            </w:r>
          </w:p>
          <w:p w14:paraId="224784A7" w14:textId="77777777" w:rsidR="00E55C1F" w:rsidRDefault="00E55C1F">
            <w:pPr>
              <w:jc w:val="center"/>
              <w:rPr>
                <w:color w:val="000000"/>
                <w:szCs w:val="24"/>
              </w:rPr>
            </w:pPr>
          </w:p>
        </w:tc>
        <w:tc>
          <w:tcPr>
            <w:tcW w:w="2835" w:type="dxa"/>
            <w:gridSpan w:val="3"/>
            <w:tcBorders>
              <w:right w:val="nil"/>
            </w:tcBorders>
            <w:shd w:val="clear" w:color="auto" w:fill="auto"/>
            <w:noWrap/>
            <w:vAlign w:val="bottom"/>
            <w:hideMark/>
          </w:tcPr>
          <w:p w14:paraId="2CB8BDE1" w14:textId="77777777" w:rsidR="00E55C1F" w:rsidRDefault="00E55C1F">
            <w:pPr>
              <w:jc w:val="center"/>
              <w:rPr>
                <w:color w:val="000000"/>
                <w:szCs w:val="24"/>
              </w:rPr>
            </w:pPr>
          </w:p>
        </w:tc>
      </w:tr>
      <w:tr w:rsidR="00E55C1F" w14:paraId="0A413BB1" w14:textId="77777777">
        <w:trPr>
          <w:gridAfter w:val="1"/>
          <w:wAfter w:w="3039" w:type="dxa"/>
          <w:trHeight w:val="288"/>
        </w:trPr>
        <w:tc>
          <w:tcPr>
            <w:tcW w:w="4111" w:type="dxa"/>
            <w:gridSpan w:val="3"/>
            <w:shd w:val="clear" w:color="auto" w:fill="auto"/>
            <w:noWrap/>
            <w:vAlign w:val="center"/>
          </w:tcPr>
          <w:p w14:paraId="67C475F6" w14:textId="77777777" w:rsidR="00E55C1F" w:rsidRDefault="00E55C1F">
            <w:pPr>
              <w:jc w:val="center"/>
              <w:rPr>
                <w:color w:val="000000"/>
                <w:szCs w:val="24"/>
              </w:rPr>
            </w:pPr>
          </w:p>
        </w:tc>
        <w:tc>
          <w:tcPr>
            <w:tcW w:w="4757" w:type="dxa"/>
            <w:gridSpan w:val="2"/>
            <w:shd w:val="clear" w:color="auto" w:fill="auto"/>
            <w:noWrap/>
            <w:vAlign w:val="center"/>
          </w:tcPr>
          <w:p w14:paraId="76EE54E7" w14:textId="77777777" w:rsidR="00E55C1F" w:rsidRDefault="00E55C1F">
            <w:pPr>
              <w:spacing w:line="276" w:lineRule="auto"/>
              <w:jc w:val="center"/>
              <w:rPr>
                <w:rFonts w:eastAsia="Calibri"/>
                <w:szCs w:val="24"/>
              </w:rPr>
            </w:pPr>
          </w:p>
        </w:tc>
        <w:tc>
          <w:tcPr>
            <w:tcW w:w="2835" w:type="dxa"/>
            <w:gridSpan w:val="3"/>
            <w:tcBorders>
              <w:right w:val="nil"/>
            </w:tcBorders>
            <w:shd w:val="clear" w:color="auto" w:fill="auto"/>
            <w:noWrap/>
            <w:vAlign w:val="bottom"/>
          </w:tcPr>
          <w:p w14:paraId="303C0965" w14:textId="77777777" w:rsidR="00E55C1F" w:rsidRDefault="00E55C1F">
            <w:pPr>
              <w:jc w:val="center"/>
              <w:rPr>
                <w:color w:val="000000"/>
                <w:szCs w:val="24"/>
              </w:rPr>
            </w:pPr>
          </w:p>
        </w:tc>
      </w:tr>
    </w:tbl>
    <w:p w14:paraId="039B9A2B" w14:textId="77777777" w:rsidR="00E55C1F" w:rsidRDefault="00E55C1F">
      <w:pPr>
        <w:rPr>
          <w:sz w:val="18"/>
          <w:szCs w:val="18"/>
        </w:rPr>
      </w:pPr>
    </w:p>
    <w:p w14:paraId="03762530" w14:textId="77777777" w:rsidR="00E55C1F" w:rsidRDefault="00E55C1F">
      <w:pPr>
        <w:tabs>
          <w:tab w:val="center" w:pos="4680"/>
          <w:tab w:val="right" w:pos="9360"/>
        </w:tabs>
        <w:rPr>
          <w:sz w:val="22"/>
          <w:szCs w:val="22"/>
          <w:lang w:eastAsia="lt-LT"/>
        </w:rPr>
      </w:pPr>
    </w:p>
    <w:p w14:paraId="667D5370" w14:textId="77777777" w:rsidR="008E1F26" w:rsidRDefault="008E1F26" w:rsidP="008E1F26">
      <w:pPr>
        <w:suppressAutoHyphens/>
        <w:ind w:firstLine="8505"/>
        <w:textAlignment w:val="baseline"/>
        <w:rPr>
          <w:szCs w:val="24"/>
        </w:rPr>
      </w:pPr>
      <w:r>
        <w:rPr>
          <w:szCs w:val="24"/>
        </w:rPr>
        <w:t xml:space="preserve">2022–2030 metų plėtros programos valdytojos Lietuvos </w:t>
      </w:r>
    </w:p>
    <w:p w14:paraId="70F6E7F2" w14:textId="77777777" w:rsidR="008E1F26" w:rsidRDefault="008E1F26" w:rsidP="008E1F26">
      <w:pPr>
        <w:suppressAutoHyphens/>
        <w:ind w:firstLine="8505"/>
        <w:textAlignment w:val="baseline"/>
        <w:rPr>
          <w:szCs w:val="24"/>
        </w:rPr>
      </w:pPr>
      <w:r>
        <w:rPr>
          <w:szCs w:val="24"/>
        </w:rPr>
        <w:lastRenderedPageBreak/>
        <w:t xml:space="preserve">Respublikos susisiekimo ministerijos susisiekimo plėtros </w:t>
      </w:r>
    </w:p>
    <w:p w14:paraId="4B2D1D35" w14:textId="77777777" w:rsidR="008E1F26" w:rsidRDefault="008E1F26" w:rsidP="008E1F26">
      <w:pPr>
        <w:suppressAutoHyphens/>
        <w:ind w:firstLine="8505"/>
        <w:textAlignment w:val="baseline"/>
        <w:rPr>
          <w:color w:val="000000"/>
          <w:szCs w:val="24"/>
          <w:lang w:eastAsia="en-GB"/>
        </w:rPr>
      </w:pPr>
      <w:r>
        <w:rPr>
          <w:szCs w:val="24"/>
        </w:rPr>
        <w:t xml:space="preserve">programos pažangos priemonės </w:t>
      </w:r>
      <w:r>
        <w:rPr>
          <w:color w:val="000000"/>
          <w:szCs w:val="24"/>
          <w:lang w:eastAsia="en-GB"/>
        </w:rPr>
        <w:t xml:space="preserve">Nr. 10-001-06-01-01 </w:t>
      </w:r>
    </w:p>
    <w:p w14:paraId="1CC6627B" w14:textId="77777777" w:rsidR="008E1F26" w:rsidRDefault="008E1F26" w:rsidP="008E1F26">
      <w:pPr>
        <w:suppressAutoHyphens/>
        <w:ind w:firstLine="8505"/>
        <w:textAlignment w:val="baseline"/>
        <w:rPr>
          <w:color w:val="000000"/>
          <w:szCs w:val="24"/>
          <w:lang w:eastAsia="en-GB"/>
        </w:rPr>
      </w:pPr>
      <w:r>
        <w:rPr>
          <w:color w:val="000000"/>
          <w:szCs w:val="24"/>
          <w:lang w:eastAsia="en-GB"/>
        </w:rPr>
        <w:t xml:space="preserve">„Skatinti alternatyviųjų degalų naudojimą transporto </w:t>
      </w:r>
    </w:p>
    <w:p w14:paraId="01BCD590" w14:textId="77777777" w:rsidR="008E1F26" w:rsidRDefault="008E1F26" w:rsidP="008E1F26">
      <w:pPr>
        <w:suppressAutoHyphens/>
        <w:ind w:firstLine="8505"/>
        <w:textAlignment w:val="baseline"/>
        <w:rPr>
          <w:szCs w:val="24"/>
        </w:rPr>
      </w:pPr>
      <w:r>
        <w:rPr>
          <w:color w:val="000000"/>
          <w:szCs w:val="24"/>
          <w:lang w:eastAsia="en-GB"/>
        </w:rPr>
        <w:t>sektoriuje“ veiklos „</w:t>
      </w:r>
      <w:r>
        <w:rPr>
          <w:szCs w:val="24"/>
        </w:rPr>
        <w:t xml:space="preserve">Miesto ir priemiestinio viešojo </w:t>
      </w:r>
    </w:p>
    <w:p w14:paraId="4459B6BA" w14:textId="77777777" w:rsidR="008E1F26" w:rsidRDefault="008E1F26" w:rsidP="008E1F26">
      <w:pPr>
        <w:suppressAutoHyphens/>
        <w:ind w:firstLine="8505"/>
        <w:textAlignment w:val="baseline"/>
        <w:rPr>
          <w:szCs w:val="24"/>
        </w:rPr>
      </w:pPr>
      <w:r>
        <w:rPr>
          <w:szCs w:val="24"/>
        </w:rPr>
        <w:t xml:space="preserve">transporto priemonių parko atnaujinimas, skatinant naudoti </w:t>
      </w:r>
    </w:p>
    <w:p w14:paraId="40C3C701" w14:textId="77777777" w:rsidR="008E1F26" w:rsidRDefault="008E1F26" w:rsidP="008E1F26">
      <w:pPr>
        <w:suppressAutoHyphens/>
        <w:ind w:firstLine="8505"/>
        <w:textAlignment w:val="baseline"/>
        <w:rPr>
          <w:szCs w:val="24"/>
        </w:rPr>
      </w:pPr>
      <w:r>
        <w:rPr>
          <w:szCs w:val="24"/>
        </w:rPr>
        <w:t xml:space="preserve">visai netaršias transporto priemones“ projektų finansavimo </w:t>
      </w:r>
    </w:p>
    <w:p w14:paraId="31B63C25" w14:textId="77777777" w:rsidR="00E55C1F" w:rsidRDefault="008E1F26" w:rsidP="008E1F26">
      <w:pPr>
        <w:suppressAutoHyphens/>
        <w:ind w:firstLine="8505"/>
        <w:textAlignment w:val="baseline"/>
        <w:rPr>
          <w:szCs w:val="24"/>
        </w:rPr>
      </w:pPr>
      <w:r>
        <w:rPr>
          <w:szCs w:val="24"/>
        </w:rPr>
        <w:t>sąlygų aprašo Nr. 2</w:t>
      </w:r>
    </w:p>
    <w:p w14:paraId="372E158F" w14:textId="77777777" w:rsidR="00E55C1F" w:rsidRDefault="008E1F26" w:rsidP="008E1F26">
      <w:pPr>
        <w:suppressAutoHyphens/>
        <w:ind w:firstLine="8505"/>
        <w:textAlignment w:val="baseline"/>
        <w:rPr>
          <w:szCs w:val="24"/>
        </w:rPr>
      </w:pPr>
      <w:r>
        <w:rPr>
          <w:szCs w:val="24"/>
        </w:rPr>
        <w:t>3 priedas</w:t>
      </w:r>
    </w:p>
    <w:p w14:paraId="7DFDD8AD" w14:textId="77777777" w:rsidR="00E55C1F" w:rsidRDefault="00E55C1F">
      <w:pPr>
        <w:jc w:val="center"/>
        <w:rPr>
          <w:b/>
          <w:bCs/>
          <w:caps/>
          <w:color w:val="000000"/>
          <w:szCs w:val="24"/>
        </w:rPr>
      </w:pPr>
    </w:p>
    <w:p w14:paraId="0E6E5ADD" w14:textId="77777777" w:rsidR="00E55C1F" w:rsidRDefault="00E55C1F">
      <w:pPr>
        <w:jc w:val="center"/>
        <w:rPr>
          <w:b/>
          <w:bCs/>
          <w:caps/>
          <w:color w:val="000000"/>
          <w:szCs w:val="24"/>
        </w:rPr>
      </w:pPr>
    </w:p>
    <w:p w14:paraId="3AA0870F" w14:textId="77777777" w:rsidR="00E55C1F" w:rsidRDefault="008E1F26">
      <w:pPr>
        <w:jc w:val="center"/>
        <w:rPr>
          <w:b/>
          <w:bCs/>
          <w:caps/>
          <w:color w:val="000000"/>
          <w:szCs w:val="24"/>
        </w:rPr>
      </w:pPr>
      <w:r>
        <w:rPr>
          <w:b/>
          <w:bCs/>
          <w:caps/>
          <w:color w:val="000000"/>
          <w:szCs w:val="24"/>
        </w:rPr>
        <w:t>PROJEKTŲ ATITIKTIES VALSTYBĖS PAGALBOS TAISYKLĖMS PATIKROS LAPAS</w:t>
      </w:r>
    </w:p>
    <w:p w14:paraId="3B6A1BD2" w14:textId="77777777" w:rsidR="00E55C1F" w:rsidRDefault="00E55C1F">
      <w:pPr>
        <w:jc w:val="center"/>
        <w:rPr>
          <w:color w:val="000000"/>
          <w:szCs w:val="24"/>
        </w:rPr>
      </w:pPr>
    </w:p>
    <w:tbl>
      <w:tblPr>
        <w:tblW w:w="15160" w:type="dxa"/>
        <w:tblLayout w:type="fixed"/>
        <w:tblLook w:val="04A0" w:firstRow="1" w:lastRow="0" w:firstColumn="1" w:lastColumn="0" w:noHBand="0" w:noVBand="1"/>
      </w:tblPr>
      <w:tblGrid>
        <w:gridCol w:w="15160"/>
      </w:tblGrid>
      <w:tr w:rsidR="00E55C1F" w14:paraId="3116EF55" w14:textId="77777777">
        <w:tc>
          <w:tcPr>
            <w:tcW w:w="151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0BA2B2A" w14:textId="77777777" w:rsidR="00E55C1F" w:rsidRDefault="008E1F26">
            <w:pPr>
              <w:jc w:val="both"/>
              <w:rPr>
                <w:color w:val="000000"/>
                <w:szCs w:val="24"/>
              </w:rPr>
            </w:pPr>
            <w:r>
              <w:rPr>
                <w:b/>
                <w:bCs/>
                <w:color w:val="000000"/>
                <w:szCs w:val="24"/>
              </w:rPr>
              <w:t>1. Priemonės teisinis pagrindas</w:t>
            </w:r>
          </w:p>
        </w:tc>
      </w:tr>
      <w:tr w:rsidR="00E55C1F" w14:paraId="506E5D15" w14:textId="77777777">
        <w:tc>
          <w:tcPr>
            <w:tcW w:w="15160" w:type="dxa"/>
            <w:tcBorders>
              <w:top w:val="single" w:sz="6" w:space="0" w:color="auto"/>
              <w:left w:val="single" w:sz="6" w:space="0" w:color="auto"/>
              <w:bottom w:val="single" w:sz="6" w:space="0" w:color="auto"/>
              <w:right w:val="single" w:sz="6" w:space="0" w:color="auto"/>
            </w:tcBorders>
          </w:tcPr>
          <w:p w14:paraId="57E85A22" w14:textId="77777777" w:rsidR="00E55C1F" w:rsidRDefault="00E55C1F">
            <w:pPr>
              <w:rPr>
                <w:sz w:val="6"/>
                <w:szCs w:val="6"/>
              </w:rPr>
            </w:pPr>
          </w:p>
          <w:p w14:paraId="07D6A46B" w14:textId="77777777" w:rsidR="00E55C1F" w:rsidRDefault="008E1F26">
            <w:pPr>
              <w:shd w:val="clear" w:color="auto" w:fill="FFFFFF"/>
              <w:jc w:val="both"/>
              <w:rPr>
                <w:color w:val="000000"/>
                <w:szCs w:val="24"/>
                <w:lang w:eastAsia="lt-LT"/>
              </w:rPr>
            </w:pPr>
            <w:r>
              <w:rPr>
                <w:color w:val="000000"/>
                <w:szCs w:val="24"/>
                <w:lang w:eastAsia="lt-LT"/>
              </w:rPr>
              <w:t xml:space="preserve">2014 m. birželio 17 d. Komisijos reglamento (ES) Nr. 651/2014, kuriuo tam tikrų kategorijų pagalba skelbiama suderinama su vidaus rinka taikant Sutarties 107 ir 108 straipsnius su visais pakeitimais </w:t>
            </w:r>
            <w:r>
              <w:rPr>
                <w:szCs w:val="24"/>
                <w:lang w:eastAsia="lt-LT"/>
              </w:rPr>
              <w:t>–</w:t>
            </w:r>
            <w:r>
              <w:rPr>
                <w:color w:val="000000"/>
                <w:szCs w:val="24"/>
                <w:lang w:eastAsia="lt-LT"/>
              </w:rPr>
              <w:t xml:space="preserve"> I skyrius, III skyriaus 7 skirsnio „Pagalba aplinkos apsaugai“ 36b straipsnis „Investicinė pagalba netaršių arba nulinės taršos transporto priemonių įsigijimui ir transporto priemonių modifikavimui</w:t>
            </w:r>
            <w:r>
              <w:rPr>
                <w:szCs w:val="24"/>
                <w:lang w:eastAsia="lt-LT"/>
              </w:rPr>
              <w:t>“</w:t>
            </w:r>
            <w:r>
              <w:rPr>
                <w:color w:val="000000"/>
                <w:szCs w:val="24"/>
                <w:lang w:eastAsia="lt-LT"/>
              </w:rPr>
              <w:t>.</w:t>
            </w:r>
          </w:p>
        </w:tc>
      </w:tr>
    </w:tbl>
    <w:p w14:paraId="34F5E205" w14:textId="77777777" w:rsidR="00E55C1F" w:rsidRDefault="00E55C1F">
      <w:pPr>
        <w:jc w:val="center"/>
        <w:rPr>
          <w:color w:val="000000"/>
          <w:szCs w:val="24"/>
        </w:rPr>
      </w:pPr>
    </w:p>
    <w:tbl>
      <w:tblPr>
        <w:tblW w:w="15160" w:type="dxa"/>
        <w:tblLayout w:type="fixed"/>
        <w:tblLook w:val="04A0" w:firstRow="1" w:lastRow="0" w:firstColumn="1" w:lastColumn="0" w:noHBand="0" w:noVBand="1"/>
      </w:tblPr>
      <w:tblGrid>
        <w:gridCol w:w="4410"/>
        <w:gridCol w:w="10750"/>
      </w:tblGrid>
      <w:tr w:rsidR="00E55C1F" w14:paraId="2D2297CF" w14:textId="77777777">
        <w:tc>
          <w:tcPr>
            <w:tcW w:w="15160" w:type="dxa"/>
            <w:gridSpan w:val="2"/>
            <w:tcBorders>
              <w:top w:val="single" w:sz="6" w:space="0" w:color="auto"/>
              <w:left w:val="single" w:sz="6" w:space="0" w:color="auto"/>
              <w:bottom w:val="single" w:sz="8" w:space="0" w:color="auto"/>
              <w:right w:val="single" w:sz="6" w:space="0" w:color="auto"/>
            </w:tcBorders>
            <w:shd w:val="clear" w:color="auto" w:fill="BFBFBF" w:themeFill="background1" w:themeFillShade="BF"/>
          </w:tcPr>
          <w:p w14:paraId="57ECA92A" w14:textId="77777777" w:rsidR="00E55C1F" w:rsidRDefault="008E1F26">
            <w:pPr>
              <w:rPr>
                <w:b/>
                <w:bCs/>
              </w:rPr>
            </w:pPr>
            <w:r>
              <w:rPr>
                <w:b/>
                <w:bCs/>
              </w:rPr>
              <w:t>2. Duomenys apie paraišką / projektą</w:t>
            </w:r>
          </w:p>
        </w:tc>
      </w:tr>
      <w:tr w:rsidR="00E55C1F" w14:paraId="0DE5CB33" w14:textId="77777777">
        <w:trPr>
          <w:trHeight w:val="405"/>
        </w:trPr>
        <w:tc>
          <w:tcPr>
            <w:tcW w:w="4410" w:type="dxa"/>
            <w:tcBorders>
              <w:top w:val="single" w:sz="8" w:space="0" w:color="auto"/>
              <w:left w:val="single" w:sz="6" w:space="0" w:color="auto"/>
              <w:bottom w:val="single" w:sz="4" w:space="0" w:color="auto"/>
              <w:right w:val="single" w:sz="6" w:space="0" w:color="auto"/>
            </w:tcBorders>
          </w:tcPr>
          <w:p w14:paraId="2326BB17" w14:textId="77777777" w:rsidR="00E55C1F" w:rsidRDefault="008E1F26">
            <w:pPr>
              <w:rPr>
                <w:b/>
                <w:bCs/>
              </w:rPr>
            </w:pPr>
            <w:r>
              <w:rPr>
                <w:b/>
                <w:bCs/>
              </w:rPr>
              <w:t>Projekto įgyvendinimo plano / projekto numeris</w:t>
            </w:r>
          </w:p>
        </w:tc>
        <w:tc>
          <w:tcPr>
            <w:tcW w:w="10750" w:type="dxa"/>
            <w:tcBorders>
              <w:top w:val="single" w:sz="8" w:space="0" w:color="auto"/>
              <w:left w:val="single" w:sz="6" w:space="0" w:color="auto"/>
              <w:bottom w:val="single" w:sz="4" w:space="0" w:color="auto"/>
              <w:right w:val="single" w:sz="6" w:space="0" w:color="auto"/>
            </w:tcBorders>
          </w:tcPr>
          <w:p w14:paraId="1FE4217F" w14:textId="77777777" w:rsidR="00E55C1F" w:rsidRDefault="00E55C1F">
            <w:pPr>
              <w:jc w:val="both"/>
              <w:rPr>
                <w:color w:val="000000"/>
                <w:szCs w:val="24"/>
              </w:rPr>
            </w:pPr>
          </w:p>
        </w:tc>
      </w:tr>
      <w:tr w:rsidR="00E55C1F" w14:paraId="4B3930F4" w14:textId="77777777">
        <w:tc>
          <w:tcPr>
            <w:tcW w:w="4410" w:type="dxa"/>
            <w:tcBorders>
              <w:top w:val="single" w:sz="4" w:space="0" w:color="auto"/>
              <w:left w:val="single" w:sz="4" w:space="0" w:color="auto"/>
              <w:bottom w:val="single" w:sz="4" w:space="0" w:color="auto"/>
              <w:right w:val="single" w:sz="6" w:space="0" w:color="auto"/>
            </w:tcBorders>
          </w:tcPr>
          <w:p w14:paraId="43B110A2" w14:textId="77777777" w:rsidR="00E55C1F" w:rsidRDefault="008E1F26">
            <w:pPr>
              <w:rPr>
                <w:b/>
                <w:bCs/>
              </w:rPr>
            </w:pPr>
            <w:r>
              <w:rPr>
                <w:b/>
                <w:bCs/>
              </w:rPr>
              <w:t>Pareiškėjo / projekto vykdytojo pavadinimas</w:t>
            </w:r>
          </w:p>
        </w:tc>
        <w:tc>
          <w:tcPr>
            <w:tcW w:w="10750" w:type="dxa"/>
            <w:tcBorders>
              <w:top w:val="single" w:sz="4" w:space="0" w:color="auto"/>
              <w:left w:val="single" w:sz="6" w:space="0" w:color="auto"/>
              <w:bottom w:val="single" w:sz="4" w:space="0" w:color="auto"/>
              <w:right w:val="single" w:sz="4" w:space="0" w:color="auto"/>
            </w:tcBorders>
          </w:tcPr>
          <w:p w14:paraId="7AD7FE06" w14:textId="77777777" w:rsidR="00E55C1F" w:rsidRDefault="00E55C1F">
            <w:pPr>
              <w:jc w:val="both"/>
              <w:rPr>
                <w:color w:val="000000"/>
                <w:szCs w:val="24"/>
              </w:rPr>
            </w:pPr>
          </w:p>
        </w:tc>
      </w:tr>
      <w:tr w:rsidR="00E55C1F" w14:paraId="6EECC608" w14:textId="77777777">
        <w:tc>
          <w:tcPr>
            <w:tcW w:w="4410" w:type="dxa"/>
            <w:tcBorders>
              <w:top w:val="single" w:sz="4" w:space="0" w:color="auto"/>
              <w:left w:val="single" w:sz="6" w:space="0" w:color="auto"/>
              <w:bottom w:val="single" w:sz="6" w:space="0" w:color="auto"/>
              <w:right w:val="single" w:sz="6" w:space="0" w:color="auto"/>
            </w:tcBorders>
          </w:tcPr>
          <w:p w14:paraId="6C17D562" w14:textId="77777777" w:rsidR="00E55C1F" w:rsidRDefault="008E1F26">
            <w:pPr>
              <w:rPr>
                <w:b/>
                <w:bCs/>
              </w:rPr>
            </w:pPr>
            <w:r>
              <w:rPr>
                <w:b/>
                <w:bCs/>
              </w:rPr>
              <w:t>Projekto pavadinimas</w:t>
            </w:r>
          </w:p>
        </w:tc>
        <w:tc>
          <w:tcPr>
            <w:tcW w:w="10750" w:type="dxa"/>
            <w:tcBorders>
              <w:top w:val="single" w:sz="4" w:space="0" w:color="auto"/>
              <w:left w:val="single" w:sz="6" w:space="0" w:color="auto"/>
              <w:bottom w:val="single" w:sz="6" w:space="0" w:color="auto"/>
              <w:right w:val="single" w:sz="6" w:space="0" w:color="auto"/>
            </w:tcBorders>
          </w:tcPr>
          <w:p w14:paraId="6961FB26" w14:textId="77777777" w:rsidR="00E55C1F" w:rsidRDefault="00E55C1F">
            <w:pPr>
              <w:jc w:val="both"/>
              <w:rPr>
                <w:color w:val="000000"/>
                <w:szCs w:val="24"/>
              </w:rPr>
            </w:pPr>
          </w:p>
        </w:tc>
      </w:tr>
    </w:tbl>
    <w:p w14:paraId="0C7609F6" w14:textId="77777777" w:rsidR="00E55C1F" w:rsidRDefault="00E55C1F">
      <w:pPr>
        <w:jc w:val="center"/>
        <w:rPr>
          <w:color w:val="000000"/>
          <w:szCs w:val="24"/>
        </w:rPr>
      </w:pPr>
    </w:p>
    <w:tbl>
      <w:tblPr>
        <w:tblW w:w="15160" w:type="dxa"/>
        <w:tblLayout w:type="fixed"/>
        <w:tblLook w:val="04A0" w:firstRow="1" w:lastRow="0" w:firstColumn="1" w:lastColumn="0" w:noHBand="0" w:noVBand="1"/>
      </w:tblPr>
      <w:tblGrid>
        <w:gridCol w:w="765"/>
        <w:gridCol w:w="4047"/>
        <w:gridCol w:w="2418"/>
        <w:gridCol w:w="945"/>
        <w:gridCol w:w="165"/>
        <w:gridCol w:w="495"/>
        <w:gridCol w:w="360"/>
        <w:gridCol w:w="4635"/>
        <w:gridCol w:w="1330"/>
      </w:tblGrid>
      <w:tr w:rsidR="00E55C1F" w14:paraId="79F22762" w14:textId="77777777">
        <w:tc>
          <w:tcPr>
            <w:tcW w:w="15160" w:type="dxa"/>
            <w:gridSpan w:val="9"/>
            <w:tcBorders>
              <w:top w:val="single" w:sz="6" w:space="0" w:color="auto"/>
              <w:left w:val="single" w:sz="6" w:space="0" w:color="auto"/>
              <w:bottom w:val="single" w:sz="12" w:space="0" w:color="auto"/>
              <w:right w:val="single" w:sz="6" w:space="0" w:color="auto"/>
            </w:tcBorders>
            <w:shd w:val="clear" w:color="auto" w:fill="BFBFBF" w:themeFill="background1" w:themeFillShade="BF"/>
          </w:tcPr>
          <w:p w14:paraId="2768C8F5" w14:textId="77777777" w:rsidR="00E55C1F" w:rsidRDefault="008E1F26">
            <w:pPr>
              <w:jc w:val="both"/>
              <w:rPr>
                <w:b/>
                <w:bCs/>
                <w:color w:val="000000"/>
              </w:rPr>
            </w:pPr>
            <w:r>
              <w:rPr>
                <w:b/>
                <w:bCs/>
                <w:color w:val="000000"/>
              </w:rPr>
              <w:t>3</w:t>
            </w:r>
            <w:r>
              <w:rPr>
                <w:b/>
                <w:bCs/>
              </w:rPr>
              <w:t>. Projekto patikra dėl atitikties Reglamento (ES) Nr. 651/2014 I skyriuje nustatytiems bendriesiems ir III skyriaus 7 skirsnio „Pagalba aplinkos apsaugai“ 36b straipsnyje „Investicinė pagalba netaršių arba nulinės taršos transporto priemonių įsigijimui ir transporto priemonių modifikavimui“ nustatytiems specialiesiems reikalavimams.</w:t>
            </w:r>
          </w:p>
        </w:tc>
      </w:tr>
      <w:tr w:rsidR="00E55C1F" w14:paraId="3D62A00D" w14:textId="77777777">
        <w:tc>
          <w:tcPr>
            <w:tcW w:w="765" w:type="dxa"/>
            <w:tcBorders>
              <w:top w:val="single" w:sz="8" w:space="0" w:color="auto"/>
              <w:left w:val="single" w:sz="6" w:space="0" w:color="auto"/>
              <w:bottom w:val="single" w:sz="6" w:space="0" w:color="auto"/>
              <w:right w:val="single" w:sz="6" w:space="0" w:color="auto"/>
            </w:tcBorders>
          </w:tcPr>
          <w:p w14:paraId="59DDC646" w14:textId="77777777" w:rsidR="00E55C1F" w:rsidRDefault="008E1F26">
            <w:pPr>
              <w:rPr>
                <w:b/>
                <w:bCs/>
              </w:rPr>
            </w:pPr>
            <w:r>
              <w:rPr>
                <w:b/>
                <w:bCs/>
              </w:rPr>
              <w:t>Nr.</w:t>
            </w:r>
          </w:p>
        </w:tc>
        <w:tc>
          <w:tcPr>
            <w:tcW w:w="6465" w:type="dxa"/>
            <w:gridSpan w:val="2"/>
            <w:tcBorders>
              <w:top w:val="single" w:sz="8" w:space="0" w:color="auto"/>
              <w:left w:val="single" w:sz="6" w:space="0" w:color="auto"/>
              <w:bottom w:val="single" w:sz="6" w:space="0" w:color="auto"/>
              <w:right w:val="single" w:sz="6" w:space="0" w:color="auto"/>
            </w:tcBorders>
          </w:tcPr>
          <w:p w14:paraId="2C0C4605" w14:textId="77777777" w:rsidR="00E55C1F" w:rsidRDefault="008E1F26">
            <w:pPr>
              <w:rPr>
                <w:b/>
                <w:bCs/>
              </w:rPr>
            </w:pPr>
            <w:r>
              <w:rPr>
                <w:b/>
                <w:bCs/>
              </w:rPr>
              <w:t>Klausimai</w:t>
            </w:r>
          </w:p>
        </w:tc>
        <w:tc>
          <w:tcPr>
            <w:tcW w:w="1605" w:type="dxa"/>
            <w:gridSpan w:val="3"/>
            <w:tcBorders>
              <w:top w:val="single" w:sz="12" w:space="0" w:color="auto"/>
              <w:left w:val="single" w:sz="6" w:space="0" w:color="auto"/>
              <w:bottom w:val="single" w:sz="6" w:space="0" w:color="auto"/>
              <w:right w:val="single" w:sz="6" w:space="0" w:color="auto"/>
            </w:tcBorders>
          </w:tcPr>
          <w:p w14:paraId="6DE6F871" w14:textId="77777777" w:rsidR="00E55C1F" w:rsidRDefault="008E1F26">
            <w:pPr>
              <w:rPr>
                <w:b/>
                <w:bCs/>
              </w:rPr>
            </w:pPr>
            <w:r>
              <w:rPr>
                <w:b/>
                <w:bCs/>
              </w:rPr>
              <w:t>Rezultatas</w:t>
            </w:r>
          </w:p>
        </w:tc>
        <w:tc>
          <w:tcPr>
            <w:tcW w:w="6325" w:type="dxa"/>
            <w:gridSpan w:val="3"/>
            <w:tcBorders>
              <w:top w:val="single" w:sz="8" w:space="0" w:color="auto"/>
              <w:left w:val="single" w:sz="6" w:space="0" w:color="auto"/>
              <w:bottom w:val="single" w:sz="6" w:space="0" w:color="auto"/>
              <w:right w:val="single" w:sz="6" w:space="0" w:color="auto"/>
            </w:tcBorders>
          </w:tcPr>
          <w:p w14:paraId="50D603F5" w14:textId="77777777" w:rsidR="00E55C1F" w:rsidRDefault="008E1F26">
            <w:pPr>
              <w:rPr>
                <w:b/>
                <w:bCs/>
              </w:rPr>
            </w:pPr>
            <w:r>
              <w:rPr>
                <w:b/>
                <w:bCs/>
              </w:rPr>
              <w:t>Pastabos</w:t>
            </w:r>
          </w:p>
        </w:tc>
      </w:tr>
      <w:tr w:rsidR="00E55C1F" w14:paraId="03C1C8D8" w14:textId="77777777">
        <w:trPr>
          <w:trHeight w:val="495"/>
        </w:trPr>
        <w:tc>
          <w:tcPr>
            <w:tcW w:w="15160" w:type="dxa"/>
            <w:gridSpan w:val="9"/>
            <w:tcBorders>
              <w:top w:val="single" w:sz="6" w:space="0" w:color="auto"/>
              <w:left w:val="single" w:sz="6" w:space="0" w:color="auto"/>
              <w:bottom w:val="single" w:sz="6" w:space="0" w:color="auto"/>
              <w:right w:val="single" w:sz="6" w:space="0" w:color="auto"/>
            </w:tcBorders>
          </w:tcPr>
          <w:p w14:paraId="0BA2E898" w14:textId="77777777" w:rsidR="00E55C1F" w:rsidRDefault="008E1F26">
            <w:pPr>
              <w:rPr>
                <w:b/>
                <w:bCs/>
              </w:rPr>
            </w:pPr>
            <w:r>
              <w:rPr>
                <w:b/>
                <w:bCs/>
              </w:rPr>
              <w:t>Bendrieji reikalavimai</w:t>
            </w:r>
          </w:p>
        </w:tc>
      </w:tr>
      <w:tr w:rsidR="00E55C1F" w14:paraId="630F384B" w14:textId="77777777">
        <w:tc>
          <w:tcPr>
            <w:tcW w:w="765" w:type="dxa"/>
            <w:vMerge w:val="restart"/>
            <w:tcBorders>
              <w:top w:val="single" w:sz="6" w:space="0" w:color="auto"/>
              <w:left w:val="single" w:sz="6" w:space="0" w:color="auto"/>
              <w:right w:val="single" w:sz="6" w:space="0" w:color="auto"/>
            </w:tcBorders>
          </w:tcPr>
          <w:p w14:paraId="3C42ADBB" w14:textId="77777777" w:rsidR="00E55C1F" w:rsidRDefault="008E1F26">
            <w:r>
              <w:t>3.1.</w:t>
            </w:r>
          </w:p>
        </w:tc>
        <w:tc>
          <w:tcPr>
            <w:tcW w:w="6465" w:type="dxa"/>
            <w:gridSpan w:val="2"/>
            <w:tcBorders>
              <w:top w:val="single" w:sz="6" w:space="0" w:color="auto"/>
              <w:left w:val="single" w:sz="6" w:space="0" w:color="auto"/>
              <w:bottom w:val="single" w:sz="6" w:space="0" w:color="auto"/>
              <w:right w:val="single" w:sz="6" w:space="0" w:color="auto"/>
            </w:tcBorders>
          </w:tcPr>
          <w:p w14:paraId="650FBFAA" w14:textId="77777777" w:rsidR="00E55C1F" w:rsidRDefault="008E1F26">
            <w:pPr>
              <w:jc w:val="both"/>
            </w:pPr>
            <w:r>
              <w:rPr>
                <w:rFonts w:eastAsia="Calibri"/>
                <w:bCs/>
                <w:lang w:eastAsia="lt-LT"/>
              </w:rPr>
              <w:t>Kokiai kategorijai priskiriamas naudos gavėjas (</w:t>
            </w:r>
            <w:r>
              <w:t>Reglamento (ES) Nr. 651/2014 I priedas)</w:t>
            </w:r>
            <w:r>
              <w:rPr>
                <w:rFonts w:eastAsia="Calibri"/>
                <w:bCs/>
                <w:lang w:eastAsia="lt-LT"/>
              </w:rPr>
              <w:t>? (pasirinkti tik vieną variantą)</w:t>
            </w:r>
          </w:p>
        </w:tc>
        <w:tc>
          <w:tcPr>
            <w:tcW w:w="945" w:type="dxa"/>
            <w:tcBorders>
              <w:top w:val="single" w:sz="6" w:space="0" w:color="auto"/>
              <w:left w:val="single" w:sz="6" w:space="0" w:color="auto"/>
              <w:bottom w:val="single" w:sz="6" w:space="0" w:color="auto"/>
              <w:right w:val="single" w:sz="6" w:space="0" w:color="auto"/>
            </w:tcBorders>
          </w:tcPr>
          <w:p w14:paraId="2838C9B5" w14:textId="77777777" w:rsidR="00E55C1F" w:rsidRDefault="00E55C1F"/>
        </w:tc>
        <w:tc>
          <w:tcPr>
            <w:tcW w:w="1020" w:type="dxa"/>
            <w:gridSpan w:val="3"/>
            <w:tcBorders>
              <w:top w:val="single" w:sz="6" w:space="0" w:color="auto"/>
              <w:left w:val="single" w:sz="6" w:space="0" w:color="auto"/>
              <w:bottom w:val="single" w:sz="6" w:space="0" w:color="auto"/>
              <w:right w:val="single" w:sz="6" w:space="0" w:color="auto"/>
            </w:tcBorders>
          </w:tcPr>
          <w:p w14:paraId="259EDC47" w14:textId="77777777" w:rsidR="00E55C1F" w:rsidRDefault="00E55C1F"/>
        </w:tc>
        <w:tc>
          <w:tcPr>
            <w:tcW w:w="5965" w:type="dxa"/>
            <w:gridSpan w:val="2"/>
            <w:tcBorders>
              <w:top w:val="single" w:sz="6" w:space="0" w:color="auto"/>
              <w:left w:val="single" w:sz="6" w:space="0" w:color="auto"/>
              <w:bottom w:val="single" w:sz="6" w:space="0" w:color="auto"/>
              <w:right w:val="single" w:sz="6" w:space="0" w:color="auto"/>
            </w:tcBorders>
          </w:tcPr>
          <w:p w14:paraId="5A755A1F" w14:textId="77777777" w:rsidR="00E55C1F" w:rsidRDefault="00E55C1F"/>
        </w:tc>
      </w:tr>
      <w:tr w:rsidR="00E55C1F" w14:paraId="127E029E" w14:textId="77777777">
        <w:tc>
          <w:tcPr>
            <w:tcW w:w="765" w:type="dxa"/>
            <w:vMerge/>
            <w:tcBorders>
              <w:left w:val="single" w:sz="6" w:space="0" w:color="auto"/>
              <w:right w:val="single" w:sz="6" w:space="0" w:color="auto"/>
            </w:tcBorders>
          </w:tcPr>
          <w:p w14:paraId="59EF77B3" w14:textId="77777777" w:rsidR="00E55C1F" w:rsidRDefault="00E55C1F"/>
        </w:tc>
        <w:tc>
          <w:tcPr>
            <w:tcW w:w="6465" w:type="dxa"/>
            <w:gridSpan w:val="2"/>
            <w:tcBorders>
              <w:top w:val="single" w:sz="6" w:space="0" w:color="auto"/>
              <w:left w:val="single" w:sz="6" w:space="0" w:color="auto"/>
              <w:bottom w:val="single" w:sz="6" w:space="0" w:color="auto"/>
              <w:right w:val="single" w:sz="6" w:space="0" w:color="auto"/>
            </w:tcBorders>
          </w:tcPr>
          <w:p w14:paraId="52D001CA" w14:textId="77777777" w:rsidR="00E55C1F" w:rsidRDefault="008E1F26">
            <w:r>
              <w:rPr>
                <w:rFonts w:eastAsia="Calibri"/>
                <w:lang w:eastAsia="lt-LT"/>
              </w:rPr>
              <w:t>- labai maža įmonė</w:t>
            </w:r>
          </w:p>
        </w:tc>
        <w:tc>
          <w:tcPr>
            <w:tcW w:w="945" w:type="dxa"/>
            <w:tcBorders>
              <w:top w:val="single" w:sz="6" w:space="0" w:color="auto"/>
              <w:left w:val="single" w:sz="6" w:space="0" w:color="auto"/>
              <w:bottom w:val="single" w:sz="6" w:space="0" w:color="auto"/>
              <w:right w:val="single" w:sz="6" w:space="0" w:color="auto"/>
            </w:tcBorders>
          </w:tcPr>
          <w:p w14:paraId="10E19494" w14:textId="77777777" w:rsidR="00E55C1F" w:rsidRDefault="008E1F26">
            <w:r>
              <w:t>□ Taip</w:t>
            </w:r>
          </w:p>
        </w:tc>
        <w:tc>
          <w:tcPr>
            <w:tcW w:w="1020" w:type="dxa"/>
            <w:gridSpan w:val="3"/>
            <w:tcBorders>
              <w:top w:val="single" w:sz="6" w:space="0" w:color="auto"/>
              <w:left w:val="single" w:sz="6" w:space="0" w:color="auto"/>
              <w:bottom w:val="single" w:sz="6" w:space="0" w:color="auto"/>
              <w:right w:val="single" w:sz="6" w:space="0" w:color="auto"/>
            </w:tcBorders>
          </w:tcPr>
          <w:p w14:paraId="390D9E59" w14:textId="77777777" w:rsidR="00E55C1F" w:rsidRDefault="008E1F26">
            <w:r>
              <w:t xml:space="preserve">□ Ne </w:t>
            </w:r>
          </w:p>
        </w:tc>
        <w:tc>
          <w:tcPr>
            <w:tcW w:w="5965" w:type="dxa"/>
            <w:gridSpan w:val="2"/>
            <w:tcBorders>
              <w:top w:val="single" w:sz="6" w:space="0" w:color="auto"/>
              <w:left w:val="single" w:sz="6" w:space="0" w:color="auto"/>
              <w:bottom w:val="single" w:sz="6" w:space="0" w:color="auto"/>
              <w:right w:val="single" w:sz="6" w:space="0" w:color="auto"/>
            </w:tcBorders>
          </w:tcPr>
          <w:p w14:paraId="5A809918" w14:textId="77777777" w:rsidR="00E55C1F" w:rsidRDefault="00E55C1F"/>
        </w:tc>
      </w:tr>
      <w:tr w:rsidR="00E55C1F" w14:paraId="06376B05" w14:textId="77777777">
        <w:tc>
          <w:tcPr>
            <w:tcW w:w="765" w:type="dxa"/>
            <w:vMerge/>
            <w:tcBorders>
              <w:left w:val="single" w:sz="6" w:space="0" w:color="auto"/>
              <w:right w:val="single" w:sz="6" w:space="0" w:color="auto"/>
            </w:tcBorders>
          </w:tcPr>
          <w:p w14:paraId="07371329" w14:textId="77777777" w:rsidR="00E55C1F" w:rsidRDefault="00E55C1F"/>
        </w:tc>
        <w:tc>
          <w:tcPr>
            <w:tcW w:w="6465" w:type="dxa"/>
            <w:gridSpan w:val="2"/>
            <w:tcBorders>
              <w:top w:val="single" w:sz="6" w:space="0" w:color="auto"/>
              <w:left w:val="single" w:sz="6" w:space="0" w:color="auto"/>
              <w:bottom w:val="single" w:sz="6" w:space="0" w:color="auto"/>
              <w:right w:val="single" w:sz="6" w:space="0" w:color="auto"/>
            </w:tcBorders>
          </w:tcPr>
          <w:p w14:paraId="66E6C25E" w14:textId="77777777" w:rsidR="00E55C1F" w:rsidRDefault="008E1F26">
            <w:r>
              <w:rPr>
                <w:rFonts w:eastAsia="Calibri"/>
                <w:lang w:eastAsia="lt-LT"/>
              </w:rPr>
              <w:t>- maža įmonė</w:t>
            </w:r>
          </w:p>
        </w:tc>
        <w:tc>
          <w:tcPr>
            <w:tcW w:w="945" w:type="dxa"/>
            <w:tcBorders>
              <w:top w:val="single" w:sz="6" w:space="0" w:color="auto"/>
              <w:left w:val="single" w:sz="6" w:space="0" w:color="auto"/>
              <w:bottom w:val="single" w:sz="6" w:space="0" w:color="auto"/>
              <w:right w:val="single" w:sz="6" w:space="0" w:color="auto"/>
            </w:tcBorders>
          </w:tcPr>
          <w:p w14:paraId="3DBB6C03" w14:textId="77777777" w:rsidR="00E55C1F" w:rsidRDefault="008E1F26">
            <w:r>
              <w:t>□ Taip</w:t>
            </w:r>
          </w:p>
        </w:tc>
        <w:tc>
          <w:tcPr>
            <w:tcW w:w="1020" w:type="dxa"/>
            <w:gridSpan w:val="3"/>
            <w:tcBorders>
              <w:top w:val="single" w:sz="6" w:space="0" w:color="auto"/>
              <w:left w:val="single" w:sz="6" w:space="0" w:color="auto"/>
              <w:bottom w:val="single" w:sz="6" w:space="0" w:color="auto"/>
              <w:right w:val="single" w:sz="6" w:space="0" w:color="auto"/>
            </w:tcBorders>
          </w:tcPr>
          <w:p w14:paraId="5A2B7D17" w14:textId="77777777" w:rsidR="00E55C1F" w:rsidRDefault="008E1F26">
            <w:r>
              <w:t xml:space="preserve">□ Ne </w:t>
            </w:r>
          </w:p>
        </w:tc>
        <w:tc>
          <w:tcPr>
            <w:tcW w:w="5965" w:type="dxa"/>
            <w:gridSpan w:val="2"/>
            <w:tcBorders>
              <w:top w:val="single" w:sz="6" w:space="0" w:color="auto"/>
              <w:left w:val="single" w:sz="6" w:space="0" w:color="auto"/>
              <w:bottom w:val="single" w:sz="6" w:space="0" w:color="auto"/>
              <w:right w:val="single" w:sz="6" w:space="0" w:color="auto"/>
            </w:tcBorders>
          </w:tcPr>
          <w:p w14:paraId="516AB891" w14:textId="77777777" w:rsidR="00E55C1F" w:rsidRDefault="00E55C1F"/>
        </w:tc>
      </w:tr>
      <w:tr w:rsidR="00E55C1F" w14:paraId="425CDE0C" w14:textId="77777777">
        <w:tc>
          <w:tcPr>
            <w:tcW w:w="765" w:type="dxa"/>
            <w:vMerge/>
            <w:tcBorders>
              <w:left w:val="single" w:sz="6" w:space="0" w:color="auto"/>
              <w:right w:val="single" w:sz="6" w:space="0" w:color="auto"/>
            </w:tcBorders>
          </w:tcPr>
          <w:p w14:paraId="17115837" w14:textId="77777777" w:rsidR="00E55C1F" w:rsidRDefault="00E55C1F"/>
        </w:tc>
        <w:tc>
          <w:tcPr>
            <w:tcW w:w="6465" w:type="dxa"/>
            <w:gridSpan w:val="2"/>
            <w:tcBorders>
              <w:top w:val="single" w:sz="6" w:space="0" w:color="auto"/>
              <w:left w:val="single" w:sz="6" w:space="0" w:color="auto"/>
              <w:bottom w:val="single" w:sz="6" w:space="0" w:color="auto"/>
              <w:right w:val="single" w:sz="6" w:space="0" w:color="auto"/>
            </w:tcBorders>
          </w:tcPr>
          <w:p w14:paraId="0F71EEB4" w14:textId="77777777" w:rsidR="00E55C1F" w:rsidRDefault="008E1F26">
            <w:r>
              <w:rPr>
                <w:rFonts w:eastAsia="Calibri"/>
                <w:lang w:eastAsia="lt-LT"/>
              </w:rPr>
              <w:t>- vidutinė įmonė</w:t>
            </w:r>
          </w:p>
        </w:tc>
        <w:tc>
          <w:tcPr>
            <w:tcW w:w="945" w:type="dxa"/>
            <w:tcBorders>
              <w:top w:val="single" w:sz="6" w:space="0" w:color="auto"/>
              <w:left w:val="single" w:sz="6" w:space="0" w:color="auto"/>
              <w:bottom w:val="single" w:sz="6" w:space="0" w:color="auto"/>
              <w:right w:val="single" w:sz="6" w:space="0" w:color="auto"/>
            </w:tcBorders>
          </w:tcPr>
          <w:p w14:paraId="20DF3620" w14:textId="77777777" w:rsidR="00E55C1F" w:rsidRDefault="008E1F26">
            <w:r>
              <w:t>□ Taip</w:t>
            </w:r>
          </w:p>
        </w:tc>
        <w:tc>
          <w:tcPr>
            <w:tcW w:w="1020" w:type="dxa"/>
            <w:gridSpan w:val="3"/>
            <w:tcBorders>
              <w:top w:val="single" w:sz="6" w:space="0" w:color="auto"/>
              <w:left w:val="single" w:sz="6" w:space="0" w:color="auto"/>
              <w:bottom w:val="single" w:sz="6" w:space="0" w:color="auto"/>
              <w:right w:val="single" w:sz="6" w:space="0" w:color="auto"/>
            </w:tcBorders>
          </w:tcPr>
          <w:p w14:paraId="2E2C2F16" w14:textId="77777777" w:rsidR="00E55C1F" w:rsidRDefault="008E1F26">
            <w:r>
              <w:t xml:space="preserve">□ Ne </w:t>
            </w:r>
          </w:p>
        </w:tc>
        <w:tc>
          <w:tcPr>
            <w:tcW w:w="5965" w:type="dxa"/>
            <w:gridSpan w:val="2"/>
            <w:tcBorders>
              <w:top w:val="single" w:sz="6" w:space="0" w:color="auto"/>
              <w:left w:val="single" w:sz="6" w:space="0" w:color="auto"/>
              <w:bottom w:val="single" w:sz="6" w:space="0" w:color="auto"/>
              <w:right w:val="single" w:sz="6" w:space="0" w:color="auto"/>
            </w:tcBorders>
          </w:tcPr>
          <w:p w14:paraId="70172114" w14:textId="77777777" w:rsidR="00E55C1F" w:rsidRDefault="00E55C1F"/>
        </w:tc>
      </w:tr>
      <w:tr w:rsidR="00E55C1F" w14:paraId="13DEB42A" w14:textId="77777777">
        <w:tc>
          <w:tcPr>
            <w:tcW w:w="765" w:type="dxa"/>
            <w:vMerge/>
            <w:tcBorders>
              <w:left w:val="single" w:sz="6" w:space="0" w:color="auto"/>
              <w:bottom w:val="single" w:sz="4" w:space="0" w:color="auto"/>
              <w:right w:val="single" w:sz="6" w:space="0" w:color="auto"/>
            </w:tcBorders>
          </w:tcPr>
          <w:p w14:paraId="7FBF4DD8" w14:textId="77777777" w:rsidR="00E55C1F" w:rsidRDefault="00E55C1F"/>
        </w:tc>
        <w:tc>
          <w:tcPr>
            <w:tcW w:w="6465" w:type="dxa"/>
            <w:gridSpan w:val="2"/>
            <w:tcBorders>
              <w:top w:val="single" w:sz="6" w:space="0" w:color="auto"/>
              <w:left w:val="single" w:sz="6" w:space="0" w:color="auto"/>
              <w:bottom w:val="single" w:sz="4" w:space="0" w:color="auto"/>
              <w:right w:val="single" w:sz="6" w:space="0" w:color="auto"/>
            </w:tcBorders>
          </w:tcPr>
          <w:p w14:paraId="691A4F5A" w14:textId="77777777" w:rsidR="00E55C1F" w:rsidRDefault="008E1F26">
            <w:r>
              <w:rPr>
                <w:rFonts w:eastAsia="Calibri"/>
                <w:lang w:eastAsia="lt-LT"/>
              </w:rPr>
              <w:t>- didelė įmonė</w:t>
            </w:r>
          </w:p>
        </w:tc>
        <w:tc>
          <w:tcPr>
            <w:tcW w:w="945" w:type="dxa"/>
            <w:tcBorders>
              <w:top w:val="single" w:sz="6" w:space="0" w:color="auto"/>
              <w:left w:val="single" w:sz="6" w:space="0" w:color="auto"/>
              <w:bottom w:val="single" w:sz="4" w:space="0" w:color="auto"/>
              <w:right w:val="single" w:sz="6" w:space="0" w:color="auto"/>
            </w:tcBorders>
          </w:tcPr>
          <w:p w14:paraId="31632183" w14:textId="77777777" w:rsidR="00E55C1F" w:rsidRDefault="008E1F26">
            <w:r>
              <w:t>□ Taip</w:t>
            </w:r>
          </w:p>
        </w:tc>
        <w:tc>
          <w:tcPr>
            <w:tcW w:w="1020" w:type="dxa"/>
            <w:gridSpan w:val="3"/>
            <w:tcBorders>
              <w:top w:val="single" w:sz="6" w:space="0" w:color="auto"/>
              <w:left w:val="single" w:sz="6" w:space="0" w:color="auto"/>
              <w:bottom w:val="single" w:sz="4" w:space="0" w:color="auto"/>
              <w:right w:val="single" w:sz="6" w:space="0" w:color="auto"/>
            </w:tcBorders>
          </w:tcPr>
          <w:p w14:paraId="4309750F" w14:textId="77777777" w:rsidR="00E55C1F" w:rsidRDefault="008E1F26">
            <w:r>
              <w:t xml:space="preserve">□ Ne </w:t>
            </w:r>
          </w:p>
        </w:tc>
        <w:tc>
          <w:tcPr>
            <w:tcW w:w="5965" w:type="dxa"/>
            <w:gridSpan w:val="2"/>
            <w:tcBorders>
              <w:top w:val="single" w:sz="6" w:space="0" w:color="auto"/>
              <w:left w:val="single" w:sz="6" w:space="0" w:color="auto"/>
              <w:bottom w:val="single" w:sz="4" w:space="0" w:color="auto"/>
              <w:right w:val="single" w:sz="6" w:space="0" w:color="auto"/>
            </w:tcBorders>
          </w:tcPr>
          <w:p w14:paraId="5CDC8B73" w14:textId="77777777" w:rsidR="00E55C1F" w:rsidRDefault="00E55C1F"/>
        </w:tc>
      </w:tr>
      <w:tr w:rsidR="00E55C1F" w14:paraId="7C85ECB3" w14:textId="77777777">
        <w:tc>
          <w:tcPr>
            <w:tcW w:w="765" w:type="dxa"/>
            <w:tcBorders>
              <w:top w:val="single" w:sz="4" w:space="0" w:color="auto"/>
              <w:left w:val="single" w:sz="4" w:space="0" w:color="auto"/>
              <w:bottom w:val="single" w:sz="4" w:space="0" w:color="auto"/>
              <w:right w:val="single" w:sz="6" w:space="0" w:color="auto"/>
            </w:tcBorders>
          </w:tcPr>
          <w:p w14:paraId="61B26C9F" w14:textId="77777777" w:rsidR="00E55C1F" w:rsidRDefault="008E1F26">
            <w:r>
              <w:t>3.2.</w:t>
            </w:r>
          </w:p>
        </w:tc>
        <w:tc>
          <w:tcPr>
            <w:tcW w:w="6465" w:type="dxa"/>
            <w:gridSpan w:val="2"/>
            <w:tcBorders>
              <w:top w:val="single" w:sz="4" w:space="0" w:color="auto"/>
              <w:left w:val="single" w:sz="6" w:space="0" w:color="auto"/>
              <w:bottom w:val="single" w:sz="4" w:space="0" w:color="auto"/>
              <w:right w:val="single" w:sz="6" w:space="0" w:color="auto"/>
            </w:tcBorders>
          </w:tcPr>
          <w:p w14:paraId="14FE06E7" w14:textId="77777777" w:rsidR="00E55C1F" w:rsidRDefault="008E1F26">
            <w:pPr>
              <w:jc w:val="both"/>
            </w:pPr>
            <w:r>
              <w:rPr>
                <w:rFonts w:eastAsia="Calibri"/>
                <w:lang w:eastAsia="lt-LT"/>
              </w:rPr>
              <w:t xml:space="preserve">Ar teikiama valstybės pagalba atitinka </w:t>
            </w:r>
            <w:r>
              <w:t>Reglamento (ES) Nr. 651/2014</w:t>
            </w:r>
            <w:r>
              <w:rPr>
                <w:rFonts w:eastAsia="Calibri"/>
                <w:lang w:eastAsia="lt-LT"/>
              </w:rPr>
              <w:t xml:space="preserve"> 1 straipsnio 2 dalies nuostatas dėl </w:t>
            </w:r>
            <w:r>
              <w:t>Reglamento (ES) Nr. 651/2014</w:t>
            </w:r>
            <w:r>
              <w:rPr>
                <w:rFonts w:eastAsia="Calibri"/>
                <w:lang w:eastAsia="lt-LT"/>
              </w:rPr>
              <w:t xml:space="preserve"> netaikymo?</w:t>
            </w:r>
          </w:p>
        </w:tc>
        <w:tc>
          <w:tcPr>
            <w:tcW w:w="945" w:type="dxa"/>
            <w:tcBorders>
              <w:top w:val="single" w:sz="4" w:space="0" w:color="auto"/>
              <w:left w:val="single" w:sz="6" w:space="0" w:color="auto"/>
              <w:bottom w:val="single" w:sz="4" w:space="0" w:color="auto"/>
              <w:right w:val="single" w:sz="6" w:space="0" w:color="auto"/>
            </w:tcBorders>
          </w:tcPr>
          <w:p w14:paraId="705B780C"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0019640B"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4" w:space="0" w:color="auto"/>
            </w:tcBorders>
          </w:tcPr>
          <w:p w14:paraId="691F9AE3" w14:textId="77777777" w:rsidR="00E55C1F" w:rsidRDefault="00E55C1F"/>
        </w:tc>
      </w:tr>
      <w:tr w:rsidR="00E55C1F" w14:paraId="25B9829E" w14:textId="77777777">
        <w:tc>
          <w:tcPr>
            <w:tcW w:w="765" w:type="dxa"/>
            <w:tcBorders>
              <w:top w:val="single" w:sz="4" w:space="0" w:color="auto"/>
              <w:left w:val="single" w:sz="4" w:space="0" w:color="auto"/>
              <w:bottom w:val="single" w:sz="4" w:space="0" w:color="auto"/>
              <w:right w:val="single" w:sz="6" w:space="0" w:color="auto"/>
            </w:tcBorders>
          </w:tcPr>
          <w:p w14:paraId="38D68EA2" w14:textId="77777777" w:rsidR="00E55C1F" w:rsidRDefault="008E1F26">
            <w:r>
              <w:t>3.3.</w:t>
            </w:r>
          </w:p>
        </w:tc>
        <w:tc>
          <w:tcPr>
            <w:tcW w:w="6465" w:type="dxa"/>
            <w:gridSpan w:val="2"/>
            <w:tcBorders>
              <w:top w:val="single" w:sz="4" w:space="0" w:color="auto"/>
              <w:left w:val="single" w:sz="6" w:space="0" w:color="auto"/>
              <w:bottom w:val="single" w:sz="4" w:space="0" w:color="auto"/>
              <w:right w:val="single" w:sz="6" w:space="0" w:color="auto"/>
            </w:tcBorders>
          </w:tcPr>
          <w:p w14:paraId="1A2A9D38" w14:textId="77777777" w:rsidR="00E55C1F" w:rsidRDefault="008E1F26">
            <w:pPr>
              <w:jc w:val="both"/>
            </w:pPr>
            <w:r>
              <w:rPr>
                <w:rFonts w:eastAsia="Calibri"/>
                <w:lang w:eastAsia="lt-LT"/>
              </w:rPr>
              <w:t xml:space="preserve">Ar teikiama valstybės pagalba atitinka </w:t>
            </w:r>
            <w:r>
              <w:t xml:space="preserve">Reglamento (ES) Nr. 651/2014 </w:t>
            </w:r>
            <w:r>
              <w:rPr>
                <w:rFonts w:eastAsia="Calibri"/>
                <w:lang w:eastAsia="lt-LT"/>
              </w:rPr>
              <w:t xml:space="preserve">1 straipsnio 3 dalies nuostatas dėl </w:t>
            </w:r>
            <w:r>
              <w:t>Reglamento (ES) Nr. 651/2014</w:t>
            </w:r>
            <w:r>
              <w:rPr>
                <w:rFonts w:eastAsia="Calibri"/>
                <w:lang w:eastAsia="lt-LT"/>
              </w:rPr>
              <w:t xml:space="preserve"> netaikymo?</w:t>
            </w:r>
          </w:p>
        </w:tc>
        <w:tc>
          <w:tcPr>
            <w:tcW w:w="945" w:type="dxa"/>
            <w:tcBorders>
              <w:top w:val="single" w:sz="4" w:space="0" w:color="auto"/>
              <w:left w:val="single" w:sz="6" w:space="0" w:color="auto"/>
              <w:bottom w:val="single" w:sz="4" w:space="0" w:color="auto"/>
              <w:right w:val="single" w:sz="6" w:space="0" w:color="auto"/>
            </w:tcBorders>
          </w:tcPr>
          <w:p w14:paraId="6FDE21F1"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37C90806"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4" w:space="0" w:color="auto"/>
            </w:tcBorders>
          </w:tcPr>
          <w:p w14:paraId="36459031" w14:textId="77777777" w:rsidR="00E55C1F" w:rsidRDefault="00E55C1F"/>
        </w:tc>
      </w:tr>
      <w:tr w:rsidR="00E55C1F" w14:paraId="4CCE1D29" w14:textId="77777777">
        <w:tc>
          <w:tcPr>
            <w:tcW w:w="765" w:type="dxa"/>
            <w:tcBorders>
              <w:top w:val="single" w:sz="4" w:space="0" w:color="auto"/>
              <w:left w:val="single" w:sz="4" w:space="0" w:color="auto"/>
              <w:bottom w:val="single" w:sz="4" w:space="0" w:color="auto"/>
              <w:right w:val="single" w:sz="6" w:space="0" w:color="auto"/>
            </w:tcBorders>
          </w:tcPr>
          <w:p w14:paraId="58D4A091" w14:textId="77777777" w:rsidR="00E55C1F" w:rsidRDefault="008E1F26">
            <w:r>
              <w:t>3.4.</w:t>
            </w:r>
          </w:p>
        </w:tc>
        <w:tc>
          <w:tcPr>
            <w:tcW w:w="6465" w:type="dxa"/>
            <w:gridSpan w:val="2"/>
            <w:tcBorders>
              <w:top w:val="single" w:sz="4" w:space="0" w:color="auto"/>
              <w:left w:val="single" w:sz="6" w:space="0" w:color="auto"/>
              <w:bottom w:val="single" w:sz="4" w:space="0" w:color="auto"/>
              <w:right w:val="single" w:sz="6" w:space="0" w:color="auto"/>
            </w:tcBorders>
          </w:tcPr>
          <w:p w14:paraId="7020CB37" w14:textId="77777777" w:rsidR="00E55C1F" w:rsidRDefault="008E1F26">
            <w:pPr>
              <w:jc w:val="both"/>
            </w:pPr>
            <w:r>
              <w:rPr>
                <w:rFonts w:eastAsia="Calibri"/>
                <w:lang w:eastAsia="lt-LT"/>
              </w:rPr>
              <w:t xml:space="preserve">Ar teikiama valstybės pagalba atitinka </w:t>
            </w:r>
            <w:r>
              <w:t>Reglamento (ES) Nr. 651/2014</w:t>
            </w:r>
            <w:r>
              <w:rPr>
                <w:rFonts w:eastAsia="Calibri"/>
                <w:lang w:eastAsia="lt-LT"/>
              </w:rPr>
              <w:t xml:space="preserve"> 1 straipsnio 4 dalies c punkto nuostatas dėl </w:t>
            </w:r>
            <w:r>
              <w:t>Reglamento (ES) Nr. 651/2014</w:t>
            </w:r>
            <w:r>
              <w:rPr>
                <w:rFonts w:eastAsia="Calibri"/>
                <w:lang w:eastAsia="lt-LT"/>
              </w:rPr>
              <w:t xml:space="preserve"> netaikymo sunkumų patiriančioms įmonėms?</w:t>
            </w:r>
          </w:p>
        </w:tc>
        <w:tc>
          <w:tcPr>
            <w:tcW w:w="945" w:type="dxa"/>
            <w:tcBorders>
              <w:top w:val="single" w:sz="4" w:space="0" w:color="auto"/>
              <w:left w:val="single" w:sz="6" w:space="0" w:color="auto"/>
              <w:bottom w:val="single" w:sz="4" w:space="0" w:color="auto"/>
              <w:right w:val="single" w:sz="6" w:space="0" w:color="auto"/>
            </w:tcBorders>
          </w:tcPr>
          <w:p w14:paraId="3520F671"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4C9B1176"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4" w:space="0" w:color="auto"/>
            </w:tcBorders>
          </w:tcPr>
          <w:p w14:paraId="73F9AF7C" w14:textId="77777777" w:rsidR="00E55C1F" w:rsidRDefault="00E55C1F"/>
        </w:tc>
      </w:tr>
      <w:tr w:rsidR="00E55C1F" w14:paraId="3650228B" w14:textId="77777777">
        <w:tc>
          <w:tcPr>
            <w:tcW w:w="765" w:type="dxa"/>
            <w:tcBorders>
              <w:top w:val="single" w:sz="4" w:space="0" w:color="auto"/>
              <w:left w:val="single" w:sz="4" w:space="0" w:color="auto"/>
              <w:bottom w:val="single" w:sz="4" w:space="0" w:color="auto"/>
              <w:right w:val="single" w:sz="6" w:space="0" w:color="auto"/>
            </w:tcBorders>
          </w:tcPr>
          <w:p w14:paraId="1A418424" w14:textId="77777777" w:rsidR="00E55C1F" w:rsidRDefault="008E1F26">
            <w:r>
              <w:t>3.5.</w:t>
            </w:r>
          </w:p>
        </w:tc>
        <w:tc>
          <w:tcPr>
            <w:tcW w:w="6465" w:type="dxa"/>
            <w:gridSpan w:val="2"/>
            <w:tcBorders>
              <w:top w:val="single" w:sz="4" w:space="0" w:color="auto"/>
              <w:left w:val="single" w:sz="6" w:space="0" w:color="auto"/>
              <w:bottom w:val="single" w:sz="4" w:space="0" w:color="auto"/>
              <w:right w:val="single" w:sz="6" w:space="0" w:color="auto"/>
            </w:tcBorders>
          </w:tcPr>
          <w:p w14:paraId="5E770F2D" w14:textId="77777777" w:rsidR="00E55C1F" w:rsidRDefault="008E1F26">
            <w:pPr>
              <w:jc w:val="both"/>
            </w:pPr>
            <w:r>
              <w:rPr>
                <w:rFonts w:eastAsia="Calibri"/>
                <w:lang w:eastAsia="lt-LT"/>
              </w:rPr>
              <w:t xml:space="preserve">Ar teikiama valstybės pagalba atitinka </w:t>
            </w:r>
            <w:r>
              <w:t>Reglamento (ES) Nr. 651/2014</w:t>
            </w:r>
            <w:r>
              <w:rPr>
                <w:rFonts w:eastAsia="Calibri"/>
                <w:lang w:eastAsia="lt-LT"/>
              </w:rPr>
              <w:t xml:space="preserve"> 1 straipsnio 5 dalies nuostatas dėl </w:t>
            </w:r>
            <w:r>
              <w:t>Reglamento (ES) Nr. 651/2014</w:t>
            </w:r>
            <w:r>
              <w:rPr>
                <w:rFonts w:eastAsia="Calibri"/>
                <w:lang w:eastAsia="lt-LT"/>
              </w:rPr>
              <w:t xml:space="preserve"> netaikymo?</w:t>
            </w:r>
          </w:p>
        </w:tc>
        <w:tc>
          <w:tcPr>
            <w:tcW w:w="945" w:type="dxa"/>
            <w:tcBorders>
              <w:top w:val="single" w:sz="4" w:space="0" w:color="auto"/>
              <w:left w:val="single" w:sz="6" w:space="0" w:color="auto"/>
              <w:bottom w:val="single" w:sz="4" w:space="0" w:color="auto"/>
              <w:right w:val="single" w:sz="6" w:space="0" w:color="auto"/>
            </w:tcBorders>
          </w:tcPr>
          <w:p w14:paraId="188E10BC"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1D24B88B"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4" w:space="0" w:color="auto"/>
            </w:tcBorders>
          </w:tcPr>
          <w:p w14:paraId="24C86179" w14:textId="77777777" w:rsidR="00E55C1F" w:rsidRDefault="00E55C1F"/>
        </w:tc>
      </w:tr>
      <w:tr w:rsidR="00E55C1F" w14:paraId="6EB7664B" w14:textId="77777777">
        <w:tc>
          <w:tcPr>
            <w:tcW w:w="765" w:type="dxa"/>
            <w:tcBorders>
              <w:top w:val="single" w:sz="4" w:space="0" w:color="auto"/>
              <w:left w:val="single" w:sz="6" w:space="0" w:color="auto"/>
              <w:bottom w:val="single" w:sz="4" w:space="0" w:color="auto"/>
              <w:right w:val="single" w:sz="6" w:space="0" w:color="auto"/>
            </w:tcBorders>
          </w:tcPr>
          <w:p w14:paraId="3B4A0231" w14:textId="77777777" w:rsidR="00E55C1F" w:rsidRDefault="008E1F26">
            <w:r>
              <w:t>3.6.</w:t>
            </w:r>
          </w:p>
        </w:tc>
        <w:tc>
          <w:tcPr>
            <w:tcW w:w="6465" w:type="dxa"/>
            <w:gridSpan w:val="2"/>
            <w:tcBorders>
              <w:top w:val="single" w:sz="4" w:space="0" w:color="auto"/>
              <w:left w:val="single" w:sz="6" w:space="0" w:color="auto"/>
              <w:bottom w:val="single" w:sz="4" w:space="0" w:color="auto"/>
              <w:right w:val="single" w:sz="6" w:space="0" w:color="auto"/>
            </w:tcBorders>
          </w:tcPr>
          <w:p w14:paraId="2142E785" w14:textId="77777777" w:rsidR="00E55C1F" w:rsidRDefault="008E1F26">
            <w:pPr>
              <w:jc w:val="both"/>
            </w:pPr>
            <w:r>
              <w:rPr>
                <w:rFonts w:eastAsia="Calibri"/>
                <w:lang w:eastAsia="lt-LT"/>
              </w:rPr>
              <w:t xml:space="preserve">Ar teikiama valstybės pagalba atitinka </w:t>
            </w:r>
            <w:r>
              <w:t>Reglamento (ES) Nr. 651/2014</w:t>
            </w:r>
            <w:r>
              <w:rPr>
                <w:rFonts w:eastAsia="Calibri"/>
                <w:lang w:eastAsia="lt-LT"/>
              </w:rPr>
              <w:t xml:space="preserve"> 4 straipsnio 1 dalies s punkte nustatytas pranešimo ribas (pagalba neviršija 30 mln. eurų</w:t>
            </w:r>
            <w:r>
              <w:rPr>
                <w:color w:val="000000"/>
                <w:shd w:val="clear" w:color="auto" w:fill="FFFFFF"/>
              </w:rPr>
              <w:t xml:space="preserve"> vienos įmonės vienam projektui)</w:t>
            </w:r>
            <w:r>
              <w:rPr>
                <w:rFonts w:eastAsia="Calibri"/>
                <w:lang w:eastAsia="lt-LT"/>
              </w:rPr>
              <w:t>?</w:t>
            </w:r>
          </w:p>
        </w:tc>
        <w:tc>
          <w:tcPr>
            <w:tcW w:w="945" w:type="dxa"/>
            <w:tcBorders>
              <w:top w:val="single" w:sz="4" w:space="0" w:color="auto"/>
              <w:left w:val="single" w:sz="6" w:space="0" w:color="auto"/>
              <w:bottom w:val="single" w:sz="4" w:space="0" w:color="auto"/>
              <w:right w:val="single" w:sz="6" w:space="0" w:color="auto"/>
            </w:tcBorders>
          </w:tcPr>
          <w:p w14:paraId="1EB8AB5E"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2D92E4A8"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6" w:space="0" w:color="auto"/>
            </w:tcBorders>
          </w:tcPr>
          <w:p w14:paraId="775ABAA6" w14:textId="77777777" w:rsidR="00E55C1F" w:rsidRDefault="00E55C1F"/>
        </w:tc>
      </w:tr>
      <w:tr w:rsidR="00E55C1F" w14:paraId="234828EB" w14:textId="77777777">
        <w:tc>
          <w:tcPr>
            <w:tcW w:w="765" w:type="dxa"/>
            <w:tcBorders>
              <w:top w:val="single" w:sz="4" w:space="0" w:color="auto"/>
              <w:left w:val="single" w:sz="4" w:space="0" w:color="auto"/>
              <w:bottom w:val="single" w:sz="4" w:space="0" w:color="auto"/>
              <w:right w:val="single" w:sz="6" w:space="0" w:color="auto"/>
            </w:tcBorders>
          </w:tcPr>
          <w:p w14:paraId="0CDC2BFB" w14:textId="77777777" w:rsidR="00E55C1F" w:rsidRDefault="008E1F26">
            <w:r>
              <w:t>3.7.</w:t>
            </w:r>
          </w:p>
        </w:tc>
        <w:tc>
          <w:tcPr>
            <w:tcW w:w="6465" w:type="dxa"/>
            <w:gridSpan w:val="2"/>
            <w:tcBorders>
              <w:top w:val="single" w:sz="4" w:space="0" w:color="auto"/>
              <w:left w:val="single" w:sz="6" w:space="0" w:color="auto"/>
              <w:bottom w:val="single" w:sz="4" w:space="0" w:color="auto"/>
              <w:right w:val="single" w:sz="6" w:space="0" w:color="auto"/>
            </w:tcBorders>
          </w:tcPr>
          <w:p w14:paraId="759002D7" w14:textId="77777777" w:rsidR="00E55C1F" w:rsidRDefault="008E1F26">
            <w:pPr>
              <w:jc w:val="both"/>
            </w:pPr>
            <w:r>
              <w:rPr>
                <w:rFonts w:eastAsia="Calibri"/>
                <w:bCs/>
                <w:lang w:eastAsia="lt-LT"/>
              </w:rPr>
              <w:t xml:space="preserve">Ar teikiama valstybės pagalba atitinka </w:t>
            </w:r>
            <w:r>
              <w:t>Reglamento (ES) Nr. 651/2014</w:t>
            </w:r>
            <w:r>
              <w:rPr>
                <w:rFonts w:eastAsia="Calibri"/>
                <w:bCs/>
                <w:lang w:eastAsia="lt-LT"/>
              </w:rPr>
              <w:t xml:space="preserve"> 4 straipsnio 2 dalies nuostatas, t. y. projektas nėra dirbtinai skaidomas?</w:t>
            </w:r>
          </w:p>
        </w:tc>
        <w:tc>
          <w:tcPr>
            <w:tcW w:w="945" w:type="dxa"/>
            <w:tcBorders>
              <w:top w:val="single" w:sz="4" w:space="0" w:color="auto"/>
              <w:left w:val="single" w:sz="6" w:space="0" w:color="auto"/>
              <w:bottom w:val="single" w:sz="4" w:space="0" w:color="auto"/>
              <w:right w:val="single" w:sz="6" w:space="0" w:color="auto"/>
            </w:tcBorders>
          </w:tcPr>
          <w:p w14:paraId="30C9D6F6"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4A4861B9"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4" w:space="0" w:color="auto"/>
            </w:tcBorders>
          </w:tcPr>
          <w:p w14:paraId="55D9E58D" w14:textId="77777777" w:rsidR="00E55C1F" w:rsidRDefault="00E55C1F"/>
        </w:tc>
      </w:tr>
      <w:tr w:rsidR="00E55C1F" w14:paraId="3497AF44" w14:textId="77777777">
        <w:tc>
          <w:tcPr>
            <w:tcW w:w="765" w:type="dxa"/>
            <w:tcBorders>
              <w:top w:val="single" w:sz="4" w:space="0" w:color="auto"/>
              <w:left w:val="single" w:sz="4" w:space="0" w:color="auto"/>
              <w:bottom w:val="single" w:sz="4" w:space="0" w:color="auto"/>
              <w:right w:val="single" w:sz="6" w:space="0" w:color="auto"/>
            </w:tcBorders>
          </w:tcPr>
          <w:p w14:paraId="225678EB" w14:textId="77777777" w:rsidR="00E55C1F" w:rsidRDefault="008E1F26">
            <w:r>
              <w:t>3.8.</w:t>
            </w:r>
          </w:p>
        </w:tc>
        <w:tc>
          <w:tcPr>
            <w:tcW w:w="6465" w:type="dxa"/>
            <w:gridSpan w:val="2"/>
            <w:tcBorders>
              <w:top w:val="single" w:sz="4" w:space="0" w:color="auto"/>
              <w:left w:val="single" w:sz="6" w:space="0" w:color="auto"/>
              <w:bottom w:val="single" w:sz="4" w:space="0" w:color="auto"/>
              <w:right w:val="single" w:sz="6" w:space="0" w:color="auto"/>
            </w:tcBorders>
          </w:tcPr>
          <w:p w14:paraId="6A699607" w14:textId="77777777" w:rsidR="00E55C1F" w:rsidRDefault="008E1F26">
            <w:pPr>
              <w:jc w:val="both"/>
            </w:pPr>
            <w:r>
              <w:rPr>
                <w:rFonts w:eastAsia="Calibri"/>
                <w:bCs/>
                <w:lang w:eastAsia="lt-LT"/>
              </w:rPr>
              <w:t xml:space="preserve">Ar yra pagrįstas valstybės pagalbos skatinamasis poveikis pagal </w:t>
            </w:r>
            <w:r>
              <w:t>Reglamento (ES) Nr. 651/2014</w:t>
            </w:r>
            <w:r>
              <w:rPr>
                <w:rFonts w:eastAsia="Calibri"/>
                <w:bCs/>
                <w:lang w:eastAsia="lt-LT"/>
              </w:rPr>
              <w:t xml:space="preserve"> 6 straipsnio 2 dalį?</w:t>
            </w:r>
          </w:p>
        </w:tc>
        <w:tc>
          <w:tcPr>
            <w:tcW w:w="945" w:type="dxa"/>
            <w:tcBorders>
              <w:top w:val="single" w:sz="4" w:space="0" w:color="auto"/>
              <w:left w:val="single" w:sz="6" w:space="0" w:color="auto"/>
              <w:bottom w:val="single" w:sz="4" w:space="0" w:color="auto"/>
              <w:right w:val="single" w:sz="6" w:space="0" w:color="auto"/>
            </w:tcBorders>
          </w:tcPr>
          <w:p w14:paraId="6FAD6F65"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6B976243"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4" w:space="0" w:color="auto"/>
            </w:tcBorders>
          </w:tcPr>
          <w:p w14:paraId="29A185D3" w14:textId="77777777" w:rsidR="00E55C1F" w:rsidRDefault="00E55C1F"/>
        </w:tc>
      </w:tr>
      <w:tr w:rsidR="00E55C1F" w14:paraId="72763F5C" w14:textId="77777777">
        <w:tc>
          <w:tcPr>
            <w:tcW w:w="765" w:type="dxa"/>
            <w:tcBorders>
              <w:top w:val="single" w:sz="4" w:space="0" w:color="auto"/>
              <w:left w:val="single" w:sz="6" w:space="0" w:color="auto"/>
              <w:bottom w:val="single" w:sz="4" w:space="0" w:color="auto"/>
              <w:right w:val="single" w:sz="6" w:space="0" w:color="auto"/>
            </w:tcBorders>
          </w:tcPr>
          <w:p w14:paraId="3A2BA5B6" w14:textId="77777777" w:rsidR="00E55C1F" w:rsidRDefault="008E1F26">
            <w:r>
              <w:t>3.9.</w:t>
            </w:r>
          </w:p>
        </w:tc>
        <w:tc>
          <w:tcPr>
            <w:tcW w:w="6465" w:type="dxa"/>
            <w:gridSpan w:val="2"/>
            <w:tcBorders>
              <w:top w:val="single" w:sz="4" w:space="0" w:color="auto"/>
              <w:left w:val="single" w:sz="6" w:space="0" w:color="auto"/>
              <w:bottom w:val="single" w:sz="4" w:space="0" w:color="auto"/>
              <w:right w:val="single" w:sz="6" w:space="0" w:color="auto"/>
            </w:tcBorders>
          </w:tcPr>
          <w:p w14:paraId="37810112" w14:textId="77777777" w:rsidR="00E55C1F" w:rsidRDefault="008E1F26">
            <w:pPr>
              <w:jc w:val="both"/>
            </w:pPr>
            <w:r>
              <w:rPr>
                <w:rFonts w:eastAsia="Calibri"/>
                <w:bCs/>
                <w:lang w:eastAsia="lt-LT"/>
              </w:rPr>
              <w:t xml:space="preserve">Ar yra laikomasi valstybės pagalbos sumavimo reikalavimų, nustatytų </w:t>
            </w:r>
            <w:r>
              <w:t>Reglamento (ES) Nr. 651/2014</w:t>
            </w:r>
            <w:r>
              <w:rPr>
                <w:rFonts w:eastAsia="Calibri"/>
                <w:bCs/>
                <w:lang w:eastAsia="lt-LT"/>
              </w:rPr>
              <w:t xml:space="preserve"> 8 straipsnyje?</w:t>
            </w:r>
          </w:p>
        </w:tc>
        <w:tc>
          <w:tcPr>
            <w:tcW w:w="945" w:type="dxa"/>
            <w:tcBorders>
              <w:top w:val="single" w:sz="4" w:space="0" w:color="auto"/>
              <w:left w:val="single" w:sz="6" w:space="0" w:color="auto"/>
              <w:bottom w:val="single" w:sz="4" w:space="0" w:color="auto"/>
              <w:right w:val="single" w:sz="6" w:space="0" w:color="auto"/>
            </w:tcBorders>
          </w:tcPr>
          <w:p w14:paraId="6B12F417"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512B0D6A"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6" w:space="0" w:color="auto"/>
            </w:tcBorders>
          </w:tcPr>
          <w:p w14:paraId="7BAE8D78" w14:textId="77777777" w:rsidR="00E55C1F" w:rsidRDefault="00E55C1F"/>
        </w:tc>
      </w:tr>
      <w:tr w:rsidR="00E55C1F" w14:paraId="334E9D51" w14:textId="77777777">
        <w:tc>
          <w:tcPr>
            <w:tcW w:w="765" w:type="dxa"/>
            <w:vMerge w:val="restart"/>
            <w:tcBorders>
              <w:top w:val="single" w:sz="4" w:space="0" w:color="auto"/>
              <w:left w:val="single" w:sz="6" w:space="0" w:color="auto"/>
              <w:right w:val="single" w:sz="6" w:space="0" w:color="auto"/>
            </w:tcBorders>
          </w:tcPr>
          <w:p w14:paraId="3D69958C" w14:textId="77777777" w:rsidR="00E55C1F" w:rsidRDefault="008E1F26">
            <w:r>
              <w:t>3.10.</w:t>
            </w:r>
          </w:p>
        </w:tc>
        <w:tc>
          <w:tcPr>
            <w:tcW w:w="6465" w:type="dxa"/>
            <w:gridSpan w:val="2"/>
            <w:tcBorders>
              <w:top w:val="single" w:sz="4" w:space="0" w:color="auto"/>
              <w:left w:val="single" w:sz="6" w:space="0" w:color="auto"/>
              <w:bottom w:val="single" w:sz="4" w:space="0" w:color="auto"/>
              <w:right w:val="single" w:sz="6" w:space="0" w:color="auto"/>
            </w:tcBorders>
          </w:tcPr>
          <w:p w14:paraId="169AEFB5" w14:textId="77777777" w:rsidR="00E55C1F" w:rsidRDefault="008E1F26">
            <w:pPr>
              <w:jc w:val="both"/>
              <w:rPr>
                <w:rFonts w:eastAsia="Calibri"/>
                <w:b/>
                <w:lang w:eastAsia="lt-LT"/>
              </w:rPr>
            </w:pPr>
            <w:r>
              <w:rPr>
                <w:rFonts w:eastAsia="Calibri"/>
                <w:szCs w:val="24"/>
                <w:lang w:eastAsia="lt-LT"/>
              </w:rPr>
              <w:t>Ar valstybės pagalba atitinka R</w:t>
            </w:r>
            <w:r>
              <w:rPr>
                <w:color w:val="000000"/>
                <w:szCs w:val="24"/>
                <w:lang w:eastAsia="lt-LT"/>
              </w:rPr>
              <w:t>eglamento (ES) Nr. 651/2014</w:t>
            </w:r>
            <w:r>
              <w:rPr>
                <w:rFonts w:eastAsia="Calibri"/>
                <w:szCs w:val="24"/>
                <w:lang w:eastAsia="lt-LT"/>
              </w:rPr>
              <w:t xml:space="preserve"> 36b straipsnio nuostatas:</w:t>
            </w:r>
          </w:p>
        </w:tc>
        <w:tc>
          <w:tcPr>
            <w:tcW w:w="945" w:type="dxa"/>
            <w:tcBorders>
              <w:top w:val="single" w:sz="4" w:space="0" w:color="auto"/>
              <w:left w:val="single" w:sz="6" w:space="0" w:color="auto"/>
              <w:bottom w:val="single" w:sz="6" w:space="0" w:color="auto"/>
              <w:right w:val="single" w:sz="6" w:space="0" w:color="auto"/>
            </w:tcBorders>
          </w:tcPr>
          <w:p w14:paraId="50EAB00B" w14:textId="77777777" w:rsidR="00E55C1F" w:rsidRDefault="00E55C1F"/>
        </w:tc>
        <w:tc>
          <w:tcPr>
            <w:tcW w:w="1020" w:type="dxa"/>
            <w:gridSpan w:val="3"/>
            <w:tcBorders>
              <w:top w:val="single" w:sz="4" w:space="0" w:color="auto"/>
              <w:left w:val="single" w:sz="6" w:space="0" w:color="auto"/>
              <w:bottom w:val="single" w:sz="6" w:space="0" w:color="auto"/>
              <w:right w:val="single" w:sz="6" w:space="0" w:color="auto"/>
            </w:tcBorders>
          </w:tcPr>
          <w:p w14:paraId="5670862A" w14:textId="77777777" w:rsidR="00E55C1F" w:rsidRDefault="00E55C1F"/>
        </w:tc>
        <w:tc>
          <w:tcPr>
            <w:tcW w:w="5965" w:type="dxa"/>
            <w:gridSpan w:val="2"/>
            <w:tcBorders>
              <w:top w:val="single" w:sz="4" w:space="0" w:color="auto"/>
              <w:left w:val="single" w:sz="6" w:space="0" w:color="auto"/>
              <w:bottom w:val="single" w:sz="6" w:space="0" w:color="auto"/>
              <w:right w:val="single" w:sz="6" w:space="0" w:color="auto"/>
            </w:tcBorders>
          </w:tcPr>
          <w:p w14:paraId="35D7CFE0" w14:textId="77777777" w:rsidR="00E55C1F" w:rsidRDefault="00E55C1F"/>
        </w:tc>
      </w:tr>
      <w:tr w:rsidR="00E55C1F" w14:paraId="50A729C3" w14:textId="77777777">
        <w:tc>
          <w:tcPr>
            <w:tcW w:w="765" w:type="dxa"/>
            <w:vMerge/>
            <w:tcBorders>
              <w:left w:val="single" w:sz="6" w:space="0" w:color="auto"/>
              <w:right w:val="single" w:sz="6" w:space="0" w:color="auto"/>
            </w:tcBorders>
          </w:tcPr>
          <w:p w14:paraId="69F5F734" w14:textId="77777777" w:rsidR="00E55C1F" w:rsidRDefault="00E55C1F"/>
        </w:tc>
        <w:tc>
          <w:tcPr>
            <w:tcW w:w="6465" w:type="dxa"/>
            <w:gridSpan w:val="2"/>
            <w:tcBorders>
              <w:top w:val="single" w:sz="4" w:space="0" w:color="auto"/>
              <w:left w:val="single" w:sz="6" w:space="0" w:color="auto"/>
              <w:bottom w:val="single" w:sz="4" w:space="0" w:color="auto"/>
              <w:right w:val="single" w:sz="6" w:space="0" w:color="auto"/>
            </w:tcBorders>
          </w:tcPr>
          <w:p w14:paraId="1C196A5F" w14:textId="77777777" w:rsidR="00E55C1F" w:rsidRDefault="008E1F26">
            <w:pPr>
              <w:jc w:val="both"/>
              <w:rPr>
                <w:bCs/>
              </w:rPr>
            </w:pPr>
            <w:r>
              <w:rPr>
                <w:rFonts w:eastAsia="Calibri"/>
                <w:bCs/>
                <w:lang w:eastAsia="lt-LT"/>
              </w:rPr>
              <w:t>- teikiama valstybės pagalba atitinka R</w:t>
            </w:r>
            <w:r>
              <w:rPr>
                <w:bCs/>
              </w:rPr>
              <w:t>eglamento (ES) Nr. 651/2014</w:t>
            </w:r>
            <w:r>
              <w:rPr>
                <w:rFonts w:eastAsia="Calibri"/>
                <w:bCs/>
                <w:lang w:eastAsia="lt-LT"/>
              </w:rPr>
              <w:t xml:space="preserve"> 36b straipsnio 2 dalies nuostatas, t. y. valstybės pagalba teikiama visai netaršioms transporto priemonėms įsigyti?</w:t>
            </w:r>
          </w:p>
        </w:tc>
        <w:tc>
          <w:tcPr>
            <w:tcW w:w="945" w:type="dxa"/>
            <w:tcBorders>
              <w:top w:val="single" w:sz="4" w:space="0" w:color="auto"/>
              <w:left w:val="single" w:sz="6" w:space="0" w:color="auto"/>
              <w:bottom w:val="single" w:sz="6" w:space="0" w:color="auto"/>
              <w:right w:val="single" w:sz="6" w:space="0" w:color="auto"/>
            </w:tcBorders>
          </w:tcPr>
          <w:p w14:paraId="1612883E" w14:textId="77777777" w:rsidR="00E55C1F" w:rsidRDefault="008E1F26">
            <w:r>
              <w:t>□ Taip</w:t>
            </w:r>
          </w:p>
        </w:tc>
        <w:tc>
          <w:tcPr>
            <w:tcW w:w="1020" w:type="dxa"/>
            <w:gridSpan w:val="3"/>
            <w:tcBorders>
              <w:top w:val="single" w:sz="4" w:space="0" w:color="auto"/>
              <w:left w:val="single" w:sz="6" w:space="0" w:color="auto"/>
              <w:bottom w:val="single" w:sz="6" w:space="0" w:color="auto"/>
              <w:right w:val="single" w:sz="6" w:space="0" w:color="auto"/>
            </w:tcBorders>
          </w:tcPr>
          <w:p w14:paraId="6001822C" w14:textId="77777777" w:rsidR="00E55C1F" w:rsidRDefault="008E1F26">
            <w:r>
              <w:t>□ Ne</w:t>
            </w:r>
          </w:p>
        </w:tc>
        <w:tc>
          <w:tcPr>
            <w:tcW w:w="5965" w:type="dxa"/>
            <w:gridSpan w:val="2"/>
            <w:tcBorders>
              <w:top w:val="single" w:sz="4" w:space="0" w:color="auto"/>
              <w:left w:val="single" w:sz="6" w:space="0" w:color="auto"/>
              <w:bottom w:val="single" w:sz="6" w:space="0" w:color="auto"/>
              <w:right w:val="single" w:sz="6" w:space="0" w:color="auto"/>
            </w:tcBorders>
          </w:tcPr>
          <w:p w14:paraId="34EBAF0C" w14:textId="77777777" w:rsidR="00E55C1F" w:rsidRDefault="00E55C1F"/>
        </w:tc>
      </w:tr>
      <w:tr w:rsidR="00E55C1F" w14:paraId="3B704E5B" w14:textId="77777777">
        <w:tc>
          <w:tcPr>
            <w:tcW w:w="765" w:type="dxa"/>
            <w:vMerge/>
            <w:tcBorders>
              <w:left w:val="single" w:sz="6" w:space="0" w:color="auto"/>
              <w:right w:val="single" w:sz="6" w:space="0" w:color="auto"/>
            </w:tcBorders>
          </w:tcPr>
          <w:p w14:paraId="37FA05D7" w14:textId="77777777" w:rsidR="00E55C1F" w:rsidRDefault="00E55C1F">
            <w:pPr>
              <w:rPr>
                <w:b/>
                <w:bCs/>
              </w:rPr>
            </w:pPr>
          </w:p>
        </w:tc>
        <w:tc>
          <w:tcPr>
            <w:tcW w:w="6465" w:type="dxa"/>
            <w:gridSpan w:val="2"/>
            <w:tcBorders>
              <w:top w:val="single" w:sz="4" w:space="0" w:color="auto"/>
              <w:left w:val="single" w:sz="6" w:space="0" w:color="auto"/>
              <w:bottom w:val="single" w:sz="4" w:space="0" w:color="auto"/>
              <w:right w:val="single" w:sz="6" w:space="0" w:color="auto"/>
            </w:tcBorders>
          </w:tcPr>
          <w:p w14:paraId="0DBEE772" w14:textId="77777777" w:rsidR="00E55C1F" w:rsidRDefault="008E1F26">
            <w:pPr>
              <w:jc w:val="both"/>
              <w:rPr>
                <w:rFonts w:eastAsia="Calibri"/>
                <w:bCs/>
                <w:lang w:eastAsia="lt-LT"/>
              </w:rPr>
            </w:pPr>
            <w:r>
              <w:rPr>
                <w:rFonts w:eastAsia="Calibri"/>
                <w:b/>
                <w:lang w:eastAsia="lt-LT"/>
              </w:rPr>
              <w:t xml:space="preserve">- </w:t>
            </w:r>
            <w:r>
              <w:rPr>
                <w:rFonts w:eastAsia="Calibri"/>
                <w:bCs/>
                <w:lang w:eastAsia="lt-LT"/>
              </w:rPr>
              <w:t xml:space="preserve">valstybės pagalba teikiama tinkamoms išlaidoms finansuoti, kaip numatyta </w:t>
            </w:r>
            <w:r>
              <w:rPr>
                <w:szCs w:val="24"/>
                <w:shd w:val="clear" w:color="auto" w:fill="FFFFFF"/>
              </w:rPr>
              <w:t>Reglamento (ES) Nr. 651/2014 36b straipsnio 3 dalies a punkte?</w:t>
            </w:r>
          </w:p>
        </w:tc>
        <w:tc>
          <w:tcPr>
            <w:tcW w:w="945" w:type="dxa"/>
            <w:tcBorders>
              <w:top w:val="single" w:sz="6" w:space="0" w:color="auto"/>
              <w:left w:val="single" w:sz="6" w:space="0" w:color="auto"/>
              <w:bottom w:val="single" w:sz="6" w:space="0" w:color="auto"/>
              <w:right w:val="single" w:sz="6" w:space="0" w:color="auto"/>
            </w:tcBorders>
          </w:tcPr>
          <w:p w14:paraId="6FC1A7D3" w14:textId="77777777" w:rsidR="00E55C1F" w:rsidRDefault="008E1F26">
            <w:r>
              <w:t>□ Taip</w:t>
            </w:r>
          </w:p>
        </w:tc>
        <w:tc>
          <w:tcPr>
            <w:tcW w:w="1020" w:type="dxa"/>
            <w:gridSpan w:val="3"/>
            <w:tcBorders>
              <w:top w:val="single" w:sz="6" w:space="0" w:color="auto"/>
              <w:left w:val="single" w:sz="6" w:space="0" w:color="auto"/>
              <w:bottom w:val="single" w:sz="6" w:space="0" w:color="auto"/>
              <w:right w:val="single" w:sz="6" w:space="0" w:color="auto"/>
            </w:tcBorders>
          </w:tcPr>
          <w:p w14:paraId="73503852" w14:textId="77777777" w:rsidR="00E55C1F" w:rsidRDefault="008E1F26">
            <w:r>
              <w:t xml:space="preserve">□ Ne </w:t>
            </w:r>
          </w:p>
        </w:tc>
        <w:tc>
          <w:tcPr>
            <w:tcW w:w="5965" w:type="dxa"/>
            <w:gridSpan w:val="2"/>
            <w:tcBorders>
              <w:top w:val="single" w:sz="6" w:space="0" w:color="auto"/>
              <w:left w:val="single" w:sz="6" w:space="0" w:color="auto"/>
              <w:bottom w:val="single" w:sz="6" w:space="0" w:color="auto"/>
              <w:right w:val="single" w:sz="6" w:space="0" w:color="auto"/>
            </w:tcBorders>
          </w:tcPr>
          <w:p w14:paraId="678D8691" w14:textId="77777777" w:rsidR="00E55C1F" w:rsidRDefault="00E55C1F"/>
        </w:tc>
      </w:tr>
      <w:tr w:rsidR="00E55C1F" w14:paraId="65375F8A" w14:textId="77777777">
        <w:tc>
          <w:tcPr>
            <w:tcW w:w="765" w:type="dxa"/>
            <w:vMerge/>
            <w:tcBorders>
              <w:left w:val="single" w:sz="6" w:space="0" w:color="auto"/>
              <w:right w:val="single" w:sz="6" w:space="0" w:color="auto"/>
            </w:tcBorders>
          </w:tcPr>
          <w:p w14:paraId="5E7ABF31" w14:textId="77777777" w:rsidR="00E55C1F" w:rsidRDefault="00E55C1F"/>
        </w:tc>
        <w:tc>
          <w:tcPr>
            <w:tcW w:w="6465" w:type="dxa"/>
            <w:gridSpan w:val="2"/>
            <w:tcBorders>
              <w:top w:val="single" w:sz="4" w:space="0" w:color="auto"/>
              <w:left w:val="single" w:sz="6" w:space="0" w:color="auto"/>
              <w:bottom w:val="single" w:sz="6" w:space="0" w:color="auto"/>
              <w:right w:val="single" w:sz="6" w:space="0" w:color="auto"/>
            </w:tcBorders>
          </w:tcPr>
          <w:p w14:paraId="2605953E" w14:textId="77777777" w:rsidR="00E55C1F" w:rsidRDefault="008E1F26">
            <w:pPr>
              <w:jc w:val="both"/>
              <w:rPr>
                <w:rFonts w:eastAsia="Calibri"/>
                <w:bCs/>
                <w:lang w:eastAsia="lt-LT"/>
              </w:rPr>
            </w:pPr>
            <w:r>
              <w:rPr>
                <w:b/>
                <w:bCs/>
                <w:lang w:eastAsia="lt-LT"/>
              </w:rPr>
              <w:t xml:space="preserve">- </w:t>
            </w:r>
            <w:r>
              <w:rPr>
                <w:lang w:eastAsia="lt-LT"/>
              </w:rPr>
              <w:t>teikiamos valstybės pagalbos intensyvumas neviršija nustatyto 36b straipsnio 5 dalyje?</w:t>
            </w:r>
          </w:p>
        </w:tc>
        <w:tc>
          <w:tcPr>
            <w:tcW w:w="945" w:type="dxa"/>
            <w:tcBorders>
              <w:top w:val="single" w:sz="6" w:space="0" w:color="auto"/>
              <w:left w:val="single" w:sz="6" w:space="0" w:color="auto"/>
              <w:bottom w:val="single" w:sz="6" w:space="0" w:color="auto"/>
              <w:right w:val="single" w:sz="6" w:space="0" w:color="auto"/>
            </w:tcBorders>
          </w:tcPr>
          <w:p w14:paraId="3F3B2837" w14:textId="77777777" w:rsidR="00E55C1F" w:rsidRDefault="008E1F26">
            <w:r>
              <w:t>□ Taip</w:t>
            </w:r>
          </w:p>
        </w:tc>
        <w:tc>
          <w:tcPr>
            <w:tcW w:w="1020" w:type="dxa"/>
            <w:gridSpan w:val="3"/>
            <w:tcBorders>
              <w:top w:val="single" w:sz="6" w:space="0" w:color="auto"/>
              <w:left w:val="single" w:sz="6" w:space="0" w:color="auto"/>
              <w:bottom w:val="single" w:sz="6" w:space="0" w:color="auto"/>
              <w:right w:val="single" w:sz="6" w:space="0" w:color="auto"/>
            </w:tcBorders>
          </w:tcPr>
          <w:p w14:paraId="5B82A4C3" w14:textId="77777777" w:rsidR="00E55C1F" w:rsidRDefault="008E1F26">
            <w:r>
              <w:t xml:space="preserve">□ Ne </w:t>
            </w:r>
          </w:p>
        </w:tc>
        <w:tc>
          <w:tcPr>
            <w:tcW w:w="5965" w:type="dxa"/>
            <w:gridSpan w:val="2"/>
            <w:tcBorders>
              <w:top w:val="single" w:sz="6" w:space="0" w:color="auto"/>
              <w:left w:val="single" w:sz="6" w:space="0" w:color="auto"/>
              <w:bottom w:val="single" w:sz="6" w:space="0" w:color="auto"/>
              <w:right w:val="single" w:sz="6" w:space="0" w:color="auto"/>
            </w:tcBorders>
          </w:tcPr>
          <w:p w14:paraId="3DF7C46D" w14:textId="77777777" w:rsidR="00E55C1F" w:rsidRDefault="00E55C1F"/>
        </w:tc>
      </w:tr>
      <w:tr w:rsidR="00E55C1F" w14:paraId="77FFB626" w14:textId="77777777">
        <w:tc>
          <w:tcPr>
            <w:tcW w:w="765" w:type="dxa"/>
            <w:vMerge/>
            <w:tcBorders>
              <w:left w:val="single" w:sz="6" w:space="0" w:color="auto"/>
              <w:bottom w:val="single" w:sz="6" w:space="0" w:color="auto"/>
              <w:right w:val="single" w:sz="6" w:space="0" w:color="auto"/>
            </w:tcBorders>
          </w:tcPr>
          <w:p w14:paraId="18591816" w14:textId="77777777" w:rsidR="00E55C1F" w:rsidRDefault="00E55C1F"/>
        </w:tc>
        <w:tc>
          <w:tcPr>
            <w:tcW w:w="6465" w:type="dxa"/>
            <w:gridSpan w:val="2"/>
            <w:tcBorders>
              <w:top w:val="single" w:sz="4" w:space="0" w:color="auto"/>
              <w:left w:val="single" w:sz="6" w:space="0" w:color="auto"/>
              <w:bottom w:val="single" w:sz="6" w:space="0" w:color="auto"/>
              <w:right w:val="single" w:sz="6" w:space="0" w:color="auto"/>
            </w:tcBorders>
          </w:tcPr>
          <w:p w14:paraId="2CFDCD80" w14:textId="77777777" w:rsidR="00E55C1F" w:rsidRDefault="008E1F26">
            <w:pPr>
              <w:jc w:val="both"/>
              <w:rPr>
                <w:b/>
                <w:bCs/>
                <w:lang w:eastAsia="lt-LT"/>
              </w:rPr>
            </w:pPr>
            <w:r>
              <w:rPr>
                <w:b/>
                <w:bCs/>
                <w:lang w:eastAsia="lt-LT"/>
              </w:rPr>
              <w:t xml:space="preserve">- </w:t>
            </w:r>
            <w:r>
              <w:rPr>
                <w:lang w:eastAsia="lt-LT"/>
              </w:rPr>
              <w:t>valstybės pagalba teikiama, laikantis 36b straipsnio 4 dalyje nustatytų sąlygų?</w:t>
            </w:r>
          </w:p>
        </w:tc>
        <w:tc>
          <w:tcPr>
            <w:tcW w:w="945" w:type="dxa"/>
            <w:tcBorders>
              <w:top w:val="single" w:sz="6" w:space="0" w:color="auto"/>
              <w:left w:val="single" w:sz="6" w:space="0" w:color="auto"/>
              <w:bottom w:val="single" w:sz="6" w:space="0" w:color="auto"/>
              <w:right w:val="single" w:sz="6" w:space="0" w:color="auto"/>
            </w:tcBorders>
          </w:tcPr>
          <w:p w14:paraId="1FC1623F" w14:textId="77777777" w:rsidR="00E55C1F" w:rsidRDefault="008E1F26">
            <w:r>
              <w:t>□ Taip</w:t>
            </w:r>
          </w:p>
        </w:tc>
        <w:tc>
          <w:tcPr>
            <w:tcW w:w="1020" w:type="dxa"/>
            <w:gridSpan w:val="3"/>
            <w:tcBorders>
              <w:top w:val="single" w:sz="6" w:space="0" w:color="auto"/>
              <w:left w:val="single" w:sz="6" w:space="0" w:color="auto"/>
              <w:bottom w:val="single" w:sz="6" w:space="0" w:color="auto"/>
              <w:right w:val="single" w:sz="6" w:space="0" w:color="auto"/>
            </w:tcBorders>
          </w:tcPr>
          <w:p w14:paraId="58E2CDF2" w14:textId="77777777" w:rsidR="00E55C1F" w:rsidRDefault="008E1F26">
            <w:r>
              <w:t>□ Taip</w:t>
            </w:r>
          </w:p>
        </w:tc>
        <w:tc>
          <w:tcPr>
            <w:tcW w:w="5965" w:type="dxa"/>
            <w:gridSpan w:val="2"/>
            <w:tcBorders>
              <w:top w:val="single" w:sz="6" w:space="0" w:color="auto"/>
              <w:left w:val="single" w:sz="6" w:space="0" w:color="auto"/>
              <w:bottom w:val="single" w:sz="6" w:space="0" w:color="auto"/>
              <w:right w:val="single" w:sz="6" w:space="0" w:color="auto"/>
            </w:tcBorders>
          </w:tcPr>
          <w:p w14:paraId="1003AC8F" w14:textId="77777777" w:rsidR="00E55C1F" w:rsidRDefault="00E55C1F"/>
        </w:tc>
      </w:tr>
      <w:tr w:rsidR="00E55C1F" w14:paraId="00D82061" w14:textId="77777777">
        <w:tc>
          <w:tcPr>
            <w:tcW w:w="15160" w:type="dxa"/>
            <w:gridSpan w:val="9"/>
            <w:tcBorders>
              <w:top w:val="single" w:sz="6" w:space="0" w:color="auto"/>
              <w:left w:val="single" w:sz="6" w:space="0" w:color="auto"/>
              <w:bottom w:val="single" w:sz="4" w:space="0" w:color="auto"/>
              <w:right w:val="single" w:sz="6" w:space="0" w:color="auto"/>
            </w:tcBorders>
          </w:tcPr>
          <w:p w14:paraId="27FBC598" w14:textId="77777777" w:rsidR="00E55C1F" w:rsidRDefault="008E1F26">
            <w:pPr>
              <w:jc w:val="both"/>
            </w:pPr>
            <w:r>
              <w:rPr>
                <w:rFonts w:eastAsia="Calibri"/>
                <w:b/>
                <w:bCs/>
                <w:lang w:eastAsia="lt-LT"/>
              </w:rPr>
              <w:t>Valstybės pagalbos atitikties vertinimas</w:t>
            </w:r>
          </w:p>
        </w:tc>
      </w:tr>
      <w:tr w:rsidR="00E55C1F" w14:paraId="677A86AF" w14:textId="77777777">
        <w:tc>
          <w:tcPr>
            <w:tcW w:w="765" w:type="dxa"/>
            <w:tcBorders>
              <w:top w:val="single" w:sz="4" w:space="0" w:color="auto"/>
              <w:left w:val="single" w:sz="4" w:space="0" w:color="auto"/>
              <w:bottom w:val="single" w:sz="4" w:space="0" w:color="auto"/>
              <w:right w:val="single" w:sz="6" w:space="0" w:color="auto"/>
            </w:tcBorders>
          </w:tcPr>
          <w:p w14:paraId="7E5ED9A3" w14:textId="77777777" w:rsidR="00E55C1F" w:rsidRDefault="008E1F26">
            <w:r>
              <w:t>3.11.</w:t>
            </w:r>
          </w:p>
        </w:tc>
        <w:tc>
          <w:tcPr>
            <w:tcW w:w="6465" w:type="dxa"/>
            <w:gridSpan w:val="2"/>
            <w:tcBorders>
              <w:top w:val="single" w:sz="4" w:space="0" w:color="auto"/>
              <w:left w:val="single" w:sz="6" w:space="0" w:color="auto"/>
              <w:bottom w:val="single" w:sz="4" w:space="0" w:color="auto"/>
              <w:right w:val="single" w:sz="6" w:space="0" w:color="auto"/>
            </w:tcBorders>
          </w:tcPr>
          <w:p w14:paraId="17D04F75" w14:textId="77777777" w:rsidR="00E55C1F" w:rsidRDefault="008E1F26">
            <w:pPr>
              <w:jc w:val="both"/>
              <w:rPr>
                <w:rFonts w:eastAsia="Calibri"/>
                <w:lang w:eastAsia="lt-LT"/>
              </w:rPr>
            </w:pPr>
            <w:r>
              <w:rPr>
                <w:rFonts w:eastAsia="Calibri"/>
                <w:lang w:eastAsia="lt-LT"/>
              </w:rPr>
              <w:t xml:space="preserve">Ar teikiama valstybės pagalba atitinka </w:t>
            </w:r>
            <w:r>
              <w:t>Reglamento (ES) Nr. 651/2014</w:t>
            </w:r>
            <w:r>
              <w:rPr>
                <w:rFonts w:eastAsia="Calibri"/>
                <w:lang w:eastAsia="lt-LT"/>
              </w:rPr>
              <w:t xml:space="preserve"> nuostatas?</w:t>
            </w:r>
          </w:p>
        </w:tc>
        <w:tc>
          <w:tcPr>
            <w:tcW w:w="945" w:type="dxa"/>
            <w:tcBorders>
              <w:top w:val="single" w:sz="4" w:space="0" w:color="auto"/>
              <w:left w:val="single" w:sz="6" w:space="0" w:color="auto"/>
              <w:bottom w:val="single" w:sz="4" w:space="0" w:color="auto"/>
              <w:right w:val="single" w:sz="6" w:space="0" w:color="auto"/>
            </w:tcBorders>
          </w:tcPr>
          <w:p w14:paraId="2D8509A8" w14:textId="77777777" w:rsidR="00E55C1F" w:rsidRDefault="008E1F26">
            <w:r>
              <w:t>□ Taip</w:t>
            </w:r>
          </w:p>
        </w:tc>
        <w:tc>
          <w:tcPr>
            <w:tcW w:w="1020" w:type="dxa"/>
            <w:gridSpan w:val="3"/>
            <w:tcBorders>
              <w:top w:val="single" w:sz="4" w:space="0" w:color="auto"/>
              <w:left w:val="single" w:sz="6" w:space="0" w:color="auto"/>
              <w:bottom w:val="single" w:sz="4" w:space="0" w:color="auto"/>
              <w:right w:val="single" w:sz="6" w:space="0" w:color="auto"/>
            </w:tcBorders>
          </w:tcPr>
          <w:p w14:paraId="63D036D0" w14:textId="77777777" w:rsidR="00E55C1F" w:rsidRDefault="008E1F26">
            <w:r>
              <w:t xml:space="preserve">□ Ne </w:t>
            </w:r>
          </w:p>
        </w:tc>
        <w:tc>
          <w:tcPr>
            <w:tcW w:w="5965" w:type="dxa"/>
            <w:gridSpan w:val="2"/>
            <w:tcBorders>
              <w:top w:val="single" w:sz="4" w:space="0" w:color="auto"/>
              <w:left w:val="single" w:sz="6" w:space="0" w:color="auto"/>
              <w:bottom w:val="single" w:sz="4" w:space="0" w:color="auto"/>
              <w:right w:val="single" w:sz="4" w:space="0" w:color="auto"/>
            </w:tcBorders>
          </w:tcPr>
          <w:p w14:paraId="45D3C006" w14:textId="77777777" w:rsidR="00E55C1F" w:rsidRDefault="00E55C1F"/>
        </w:tc>
      </w:tr>
      <w:tr w:rsidR="00E55C1F" w14:paraId="64128D78" w14:textId="77777777">
        <w:trPr>
          <w:gridAfter w:val="1"/>
          <w:wAfter w:w="1330" w:type="dxa"/>
          <w:trHeight w:val="315"/>
        </w:trPr>
        <w:tc>
          <w:tcPr>
            <w:tcW w:w="4812" w:type="dxa"/>
            <w:gridSpan w:val="2"/>
            <w:tcBorders>
              <w:top w:val="single" w:sz="6" w:space="0" w:color="auto"/>
              <w:left w:val="nil"/>
              <w:bottom w:val="nil"/>
              <w:right w:val="nil"/>
            </w:tcBorders>
          </w:tcPr>
          <w:p w14:paraId="628DE5FA" w14:textId="77777777" w:rsidR="00E55C1F" w:rsidRDefault="00E55C1F"/>
          <w:p w14:paraId="78BC9211" w14:textId="77777777" w:rsidR="00E55C1F" w:rsidRDefault="00E55C1F"/>
          <w:p w14:paraId="753C85BE" w14:textId="77777777" w:rsidR="00E55C1F" w:rsidRDefault="008E1F26">
            <w:r>
              <w:t>______________________________________</w:t>
            </w:r>
          </w:p>
          <w:p w14:paraId="2DE3B5B2" w14:textId="77777777" w:rsidR="00E55C1F" w:rsidRDefault="008E1F26">
            <w:pPr>
              <w:rPr>
                <w:i/>
                <w:iCs/>
              </w:rPr>
            </w:pPr>
            <w:r>
              <w:rPr>
                <w:i/>
                <w:iCs/>
              </w:rPr>
              <w:t>(vertintojas)</w:t>
            </w:r>
          </w:p>
        </w:tc>
        <w:tc>
          <w:tcPr>
            <w:tcW w:w="3528" w:type="dxa"/>
            <w:gridSpan w:val="3"/>
            <w:tcBorders>
              <w:top w:val="nil"/>
              <w:left w:val="nil"/>
              <w:bottom w:val="nil"/>
              <w:right w:val="nil"/>
            </w:tcBorders>
          </w:tcPr>
          <w:p w14:paraId="13BE4841" w14:textId="77777777" w:rsidR="00E55C1F" w:rsidRDefault="00E55C1F">
            <w:pPr>
              <w:rPr>
                <w:szCs w:val="24"/>
              </w:rPr>
            </w:pPr>
          </w:p>
          <w:p w14:paraId="05E6B03F" w14:textId="77777777" w:rsidR="00E55C1F" w:rsidRDefault="00E55C1F"/>
          <w:p w14:paraId="7E041110" w14:textId="77777777" w:rsidR="00E55C1F" w:rsidRDefault="008E1F26">
            <w:r>
              <w:t>____________</w:t>
            </w:r>
          </w:p>
          <w:p w14:paraId="7D0F8B25" w14:textId="77777777" w:rsidR="00E55C1F" w:rsidRDefault="008E1F26">
            <w:pPr>
              <w:rPr>
                <w:i/>
                <w:iCs/>
              </w:rPr>
            </w:pPr>
            <w:r>
              <w:rPr>
                <w:i/>
                <w:iCs/>
              </w:rPr>
              <w:t>(parašas)</w:t>
            </w:r>
          </w:p>
        </w:tc>
        <w:tc>
          <w:tcPr>
            <w:tcW w:w="5490" w:type="dxa"/>
            <w:gridSpan w:val="3"/>
            <w:tcBorders>
              <w:top w:val="nil"/>
              <w:left w:val="nil"/>
              <w:bottom w:val="nil"/>
              <w:right w:val="nil"/>
            </w:tcBorders>
          </w:tcPr>
          <w:p w14:paraId="5859FFDA" w14:textId="77777777" w:rsidR="00E55C1F" w:rsidRDefault="00E55C1F">
            <w:pPr>
              <w:rPr>
                <w:szCs w:val="24"/>
              </w:rPr>
            </w:pPr>
          </w:p>
          <w:p w14:paraId="0FB94050" w14:textId="77777777" w:rsidR="00E55C1F" w:rsidRDefault="00E55C1F"/>
          <w:p w14:paraId="50E5090A" w14:textId="77777777" w:rsidR="00E55C1F" w:rsidRDefault="008E1F26">
            <w:r>
              <w:t>____________</w:t>
            </w:r>
          </w:p>
          <w:p w14:paraId="7D98A583" w14:textId="77777777" w:rsidR="00E55C1F" w:rsidRDefault="008E1F26">
            <w:pPr>
              <w:rPr>
                <w:i/>
                <w:iCs/>
              </w:rPr>
            </w:pPr>
            <w:r>
              <w:rPr>
                <w:i/>
                <w:iCs/>
              </w:rPr>
              <w:t>(data)</w:t>
            </w:r>
          </w:p>
        </w:tc>
      </w:tr>
      <w:tr w:rsidR="00E55C1F" w14:paraId="6D9E031A" w14:textId="77777777">
        <w:trPr>
          <w:gridAfter w:val="1"/>
          <w:wAfter w:w="1330" w:type="dxa"/>
          <w:trHeight w:val="735"/>
        </w:trPr>
        <w:tc>
          <w:tcPr>
            <w:tcW w:w="13830" w:type="dxa"/>
            <w:gridSpan w:val="8"/>
            <w:tcBorders>
              <w:top w:val="nil"/>
              <w:left w:val="nil"/>
              <w:bottom w:val="nil"/>
              <w:right w:val="nil"/>
            </w:tcBorders>
          </w:tcPr>
          <w:p w14:paraId="36CA309A" w14:textId="77777777" w:rsidR="00E55C1F" w:rsidRDefault="00E55C1F">
            <w:pPr>
              <w:rPr>
                <w:b/>
                <w:bCs/>
              </w:rPr>
            </w:pPr>
          </w:p>
          <w:p w14:paraId="05B74F07" w14:textId="77777777" w:rsidR="00E55C1F" w:rsidRDefault="008E1F26">
            <w:r>
              <w:rPr>
                <w:b/>
                <w:bCs/>
              </w:rPr>
              <w:t>Patikros peržiūra:</w:t>
            </w:r>
          </w:p>
          <w:p w14:paraId="645F732B" w14:textId="77777777" w:rsidR="00E55C1F" w:rsidRDefault="008E1F26">
            <w:r>
              <w:t>□ Vertintojo išvadai pritarti</w:t>
            </w:r>
          </w:p>
          <w:p w14:paraId="3CD2183B" w14:textId="77777777" w:rsidR="00E55C1F" w:rsidRDefault="008E1F26">
            <w:r>
              <w:t>□ Vertintojo išvadai nepritarti</w:t>
            </w:r>
          </w:p>
          <w:p w14:paraId="62F86094" w14:textId="77777777" w:rsidR="00E55C1F" w:rsidRDefault="008E1F26">
            <w:r>
              <w:rPr>
                <w:b/>
                <w:bCs/>
              </w:rPr>
              <w:t>Pastabos:</w:t>
            </w:r>
            <w:r>
              <w:t>_______________________________________________________________________</w:t>
            </w:r>
          </w:p>
        </w:tc>
      </w:tr>
      <w:tr w:rsidR="00E55C1F" w14:paraId="5140E976" w14:textId="77777777">
        <w:trPr>
          <w:gridAfter w:val="1"/>
          <w:wAfter w:w="1330" w:type="dxa"/>
          <w:trHeight w:val="240"/>
        </w:trPr>
        <w:tc>
          <w:tcPr>
            <w:tcW w:w="4812" w:type="dxa"/>
            <w:gridSpan w:val="2"/>
            <w:tcBorders>
              <w:top w:val="nil"/>
              <w:left w:val="nil"/>
              <w:bottom w:val="nil"/>
              <w:right w:val="nil"/>
            </w:tcBorders>
          </w:tcPr>
          <w:p w14:paraId="61E9E784" w14:textId="77777777" w:rsidR="00E55C1F" w:rsidRDefault="00E55C1F"/>
          <w:p w14:paraId="6563A285" w14:textId="77777777" w:rsidR="00E55C1F" w:rsidRDefault="008E1F26">
            <w:r>
              <w:t>______________________________________</w:t>
            </w:r>
          </w:p>
          <w:p w14:paraId="3A5EB3EA" w14:textId="77777777" w:rsidR="00E55C1F" w:rsidRDefault="008E1F26">
            <w:pPr>
              <w:rPr>
                <w:i/>
                <w:iCs/>
              </w:rPr>
            </w:pPr>
            <w:r>
              <w:rPr>
                <w:i/>
                <w:iCs/>
              </w:rPr>
              <w:t>(vertintojo tiesioginis vadovas)</w:t>
            </w:r>
          </w:p>
        </w:tc>
        <w:tc>
          <w:tcPr>
            <w:tcW w:w="3528" w:type="dxa"/>
            <w:gridSpan w:val="3"/>
            <w:tcBorders>
              <w:top w:val="nil"/>
              <w:left w:val="nil"/>
              <w:bottom w:val="nil"/>
              <w:right w:val="nil"/>
            </w:tcBorders>
          </w:tcPr>
          <w:p w14:paraId="5E28EB8D" w14:textId="77777777" w:rsidR="00E55C1F" w:rsidRDefault="00E55C1F"/>
          <w:p w14:paraId="62E16E5E" w14:textId="77777777" w:rsidR="00E55C1F" w:rsidRDefault="008E1F26">
            <w:r>
              <w:t>____________</w:t>
            </w:r>
          </w:p>
          <w:p w14:paraId="7D53E66F" w14:textId="77777777" w:rsidR="00E55C1F" w:rsidRDefault="008E1F26">
            <w:pPr>
              <w:rPr>
                <w:i/>
                <w:iCs/>
              </w:rPr>
            </w:pPr>
            <w:r>
              <w:rPr>
                <w:i/>
                <w:iCs/>
              </w:rPr>
              <w:t>(parašas)</w:t>
            </w:r>
          </w:p>
        </w:tc>
        <w:tc>
          <w:tcPr>
            <w:tcW w:w="5490" w:type="dxa"/>
            <w:gridSpan w:val="3"/>
            <w:tcBorders>
              <w:top w:val="nil"/>
              <w:left w:val="nil"/>
              <w:bottom w:val="nil"/>
              <w:right w:val="nil"/>
            </w:tcBorders>
          </w:tcPr>
          <w:p w14:paraId="16BC2BCF" w14:textId="77777777" w:rsidR="00E55C1F" w:rsidRDefault="00E55C1F"/>
          <w:p w14:paraId="4BE964DD" w14:textId="77777777" w:rsidR="00E55C1F" w:rsidRDefault="008E1F26">
            <w:r>
              <w:t>____________</w:t>
            </w:r>
          </w:p>
          <w:p w14:paraId="53CF42C2" w14:textId="77777777" w:rsidR="00E55C1F" w:rsidRDefault="008E1F26">
            <w:pPr>
              <w:rPr>
                <w:i/>
                <w:iCs/>
              </w:rPr>
            </w:pPr>
            <w:r>
              <w:rPr>
                <w:i/>
                <w:iCs/>
              </w:rPr>
              <w:t>(data)</w:t>
            </w:r>
          </w:p>
        </w:tc>
      </w:tr>
    </w:tbl>
    <w:p w14:paraId="42493DAB" w14:textId="77777777" w:rsidR="00E55C1F" w:rsidRDefault="00E55C1F">
      <w:pPr>
        <w:suppressAutoHyphens/>
        <w:jc w:val="both"/>
        <w:textAlignment w:val="baseline"/>
        <w:rPr>
          <w:szCs w:val="24"/>
        </w:rPr>
      </w:pPr>
    </w:p>
    <w:p w14:paraId="0ECF8EE2" w14:textId="77777777" w:rsidR="00E55C1F" w:rsidRDefault="008E1F26">
      <w:pPr>
        <w:jc w:val="center"/>
        <w:rPr>
          <w:rFonts w:eastAsia="Calibri"/>
          <w:szCs w:val="24"/>
        </w:rPr>
      </w:pPr>
      <w:r>
        <w:rPr>
          <w:szCs w:val="24"/>
          <w:lang w:eastAsia="lt-LT"/>
        </w:rPr>
        <w:t>_________________________</w:t>
      </w:r>
    </w:p>
    <w:p w14:paraId="4BA92BB3" w14:textId="77777777" w:rsidR="00E55C1F" w:rsidRDefault="00E55C1F">
      <w:pPr>
        <w:suppressAutoHyphens/>
        <w:jc w:val="both"/>
        <w:textAlignment w:val="baseline"/>
        <w:rPr>
          <w:b/>
          <w:bCs/>
          <w:caps/>
          <w:color w:val="000000"/>
          <w:szCs w:val="24"/>
        </w:rPr>
      </w:pPr>
    </w:p>
    <w:sectPr w:rsidR="00E55C1F">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56E6C" w14:textId="77777777" w:rsidR="00943789" w:rsidRDefault="00943789">
      <w:pPr>
        <w:rPr>
          <w:sz w:val="22"/>
          <w:szCs w:val="22"/>
        </w:rPr>
      </w:pPr>
      <w:r>
        <w:rPr>
          <w:sz w:val="22"/>
          <w:szCs w:val="22"/>
        </w:rPr>
        <w:separator/>
      </w:r>
    </w:p>
  </w:endnote>
  <w:endnote w:type="continuationSeparator" w:id="0">
    <w:p w14:paraId="4F2E635B" w14:textId="77777777" w:rsidR="00943789" w:rsidRDefault="00943789">
      <w:pPr>
        <w:rPr>
          <w:sz w:val="22"/>
          <w:szCs w:val="22"/>
        </w:rPr>
      </w:pPr>
      <w:r>
        <w:rPr>
          <w:sz w:val="22"/>
          <w:szCs w:val="22"/>
        </w:rPr>
        <w:continuationSeparator/>
      </w:r>
    </w:p>
  </w:endnote>
  <w:endnote w:type="continuationNotice" w:id="1">
    <w:p w14:paraId="2C9BCEFE" w14:textId="77777777" w:rsidR="00943789" w:rsidRDefault="0094378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D417C" w14:textId="77777777" w:rsidR="00E55C1F" w:rsidRDefault="00E55C1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40E7" w14:textId="77777777" w:rsidR="00E55C1F" w:rsidRDefault="00E55C1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C31E0" w14:textId="77777777" w:rsidR="00E55C1F" w:rsidRDefault="00E55C1F">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E5533" w14:textId="77777777" w:rsidR="00E55C1F" w:rsidRDefault="00E55C1F">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4730A" w14:textId="77777777" w:rsidR="00E55C1F" w:rsidRDefault="00E55C1F">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E9E8" w14:textId="77777777" w:rsidR="00E55C1F" w:rsidRDefault="00E55C1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96E44" w14:textId="77777777" w:rsidR="00943789" w:rsidRDefault="00943789">
      <w:pPr>
        <w:rPr>
          <w:sz w:val="22"/>
          <w:szCs w:val="22"/>
        </w:rPr>
      </w:pPr>
      <w:r>
        <w:rPr>
          <w:sz w:val="22"/>
          <w:szCs w:val="22"/>
        </w:rPr>
        <w:separator/>
      </w:r>
    </w:p>
  </w:footnote>
  <w:footnote w:type="continuationSeparator" w:id="0">
    <w:p w14:paraId="15815147" w14:textId="77777777" w:rsidR="00943789" w:rsidRDefault="00943789">
      <w:pPr>
        <w:rPr>
          <w:sz w:val="22"/>
          <w:szCs w:val="22"/>
        </w:rPr>
      </w:pPr>
      <w:r>
        <w:rPr>
          <w:sz w:val="22"/>
          <w:szCs w:val="22"/>
        </w:rPr>
        <w:continuationSeparator/>
      </w:r>
    </w:p>
  </w:footnote>
  <w:footnote w:type="continuationNotice" w:id="1">
    <w:p w14:paraId="341EF93F" w14:textId="77777777" w:rsidR="00943789" w:rsidRDefault="0094378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B334" w14:textId="77777777" w:rsidR="00E55C1F" w:rsidRDefault="00E55C1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33C3" w14:textId="77777777" w:rsidR="00E55C1F" w:rsidRDefault="008E1F26">
    <w:pPr>
      <w:tabs>
        <w:tab w:val="center" w:pos="4819"/>
        <w:tab w:val="right" w:pos="9638"/>
      </w:tabs>
      <w:jc w:val="center"/>
    </w:pPr>
    <w:r>
      <w:fldChar w:fldCharType="begin"/>
    </w:r>
    <w:r>
      <w:instrText>PAGE   \* MERGEFORMAT</w:instrText>
    </w:r>
    <w:r>
      <w:fldChar w:fldCharType="separate"/>
    </w:r>
    <w:r w:rsidR="00961ADA">
      <w:rPr>
        <w:noProof/>
      </w:rPr>
      <w:t>9</w:t>
    </w:r>
    <w:r>
      <w:fldChar w:fldCharType="end"/>
    </w:r>
  </w:p>
  <w:p w14:paraId="4FD88B4B" w14:textId="77777777" w:rsidR="00E55C1F" w:rsidRDefault="00E55C1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02C74" w14:textId="77777777" w:rsidR="00E55C1F" w:rsidRDefault="00E55C1F">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DFEEF" w14:textId="77777777" w:rsidR="00E55C1F" w:rsidRDefault="00E55C1F">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FF2E" w14:textId="77777777" w:rsidR="00E55C1F" w:rsidRDefault="008E1F26">
    <w:pPr>
      <w:tabs>
        <w:tab w:val="left" w:pos="7092"/>
      </w:tabs>
      <w:jc w:val="center"/>
    </w:pPr>
    <w:r>
      <w:fldChar w:fldCharType="begin"/>
    </w:r>
    <w:r>
      <w:instrText>PAGE   \* MERGEFORMAT</w:instrText>
    </w:r>
    <w:r>
      <w:fldChar w:fldCharType="separate"/>
    </w:r>
    <w:r w:rsidR="00961ADA">
      <w:rPr>
        <w:noProof/>
      </w:rPr>
      <w:t>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1987" w14:textId="77777777" w:rsidR="00E55C1F" w:rsidRDefault="00E55C1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1296"/>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2963B5"/>
    <w:rsid w:val="002B40B7"/>
    <w:rsid w:val="00507E1A"/>
    <w:rsid w:val="00614D6A"/>
    <w:rsid w:val="008E1F26"/>
    <w:rsid w:val="00943789"/>
    <w:rsid w:val="00961ADA"/>
    <w:rsid w:val="00A361B0"/>
    <w:rsid w:val="00E55C1F"/>
    <w:rsid w:val="00F00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B8144F"/>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E1F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0157">
      <w:bodyDiv w:val="1"/>
      <w:marLeft w:val="0"/>
      <w:marRight w:val="0"/>
      <w:marTop w:val="0"/>
      <w:marBottom w:val="0"/>
      <w:divBdr>
        <w:top w:val="none" w:sz="0" w:space="0" w:color="auto"/>
        <w:left w:val="none" w:sz="0" w:space="0" w:color="auto"/>
        <w:bottom w:val="none" w:sz="0" w:space="0" w:color="auto"/>
        <w:right w:val="none" w:sz="0" w:space="0" w:color="auto"/>
      </w:divBdr>
    </w:div>
    <w:div w:id="24985327">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28648832">
      <w:bodyDiv w:val="1"/>
      <w:marLeft w:val="0"/>
      <w:marRight w:val="0"/>
      <w:marTop w:val="0"/>
      <w:marBottom w:val="0"/>
      <w:divBdr>
        <w:top w:val="none" w:sz="0" w:space="0" w:color="auto"/>
        <w:left w:val="none" w:sz="0" w:space="0" w:color="auto"/>
        <w:bottom w:val="none" w:sz="0" w:space="0" w:color="auto"/>
        <w:right w:val="none" w:sz="0" w:space="0" w:color="auto"/>
      </w:divBdr>
    </w:div>
    <w:div w:id="739714603">
      <w:bodyDiv w:val="1"/>
      <w:marLeft w:val="0"/>
      <w:marRight w:val="0"/>
      <w:marTop w:val="0"/>
      <w:marBottom w:val="0"/>
      <w:divBdr>
        <w:top w:val="none" w:sz="0" w:space="0" w:color="auto"/>
        <w:left w:val="none" w:sz="0" w:space="0" w:color="auto"/>
        <w:bottom w:val="none" w:sz="0" w:space="0" w:color="auto"/>
        <w:right w:val="none" w:sz="0" w:space="0" w:color="auto"/>
      </w:divBdr>
    </w:div>
    <w:div w:id="842936695">
      <w:bodyDiv w:val="1"/>
      <w:marLeft w:val="0"/>
      <w:marRight w:val="0"/>
      <w:marTop w:val="0"/>
      <w:marBottom w:val="0"/>
      <w:divBdr>
        <w:top w:val="none" w:sz="0" w:space="0" w:color="auto"/>
        <w:left w:val="none" w:sz="0" w:space="0" w:color="auto"/>
        <w:bottom w:val="none" w:sz="0" w:space="0" w:color="auto"/>
        <w:right w:val="none" w:sz="0" w:space="0" w:color="auto"/>
      </w:divBdr>
    </w:div>
    <w:div w:id="84443655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5820645">
      <w:bodyDiv w:val="1"/>
      <w:marLeft w:val="0"/>
      <w:marRight w:val="0"/>
      <w:marTop w:val="0"/>
      <w:marBottom w:val="0"/>
      <w:divBdr>
        <w:top w:val="none" w:sz="0" w:space="0" w:color="auto"/>
        <w:left w:val="none" w:sz="0" w:space="0" w:color="auto"/>
        <w:bottom w:val="none" w:sz="0" w:space="0" w:color="auto"/>
        <w:right w:val="none" w:sz="0" w:space="0" w:color="auto"/>
      </w:divBdr>
    </w:div>
    <w:div w:id="1047024537">
      <w:bodyDiv w:val="1"/>
      <w:marLeft w:val="0"/>
      <w:marRight w:val="0"/>
      <w:marTop w:val="0"/>
      <w:marBottom w:val="0"/>
      <w:divBdr>
        <w:top w:val="none" w:sz="0" w:space="0" w:color="auto"/>
        <w:left w:val="none" w:sz="0" w:space="0" w:color="auto"/>
        <w:bottom w:val="none" w:sz="0" w:space="0" w:color="auto"/>
        <w:right w:val="none" w:sz="0" w:space="0" w:color="auto"/>
      </w:divBdr>
      <w:divsChild>
        <w:div w:id="1712415246">
          <w:marLeft w:val="547"/>
          <w:marRight w:val="0"/>
          <w:marTop w:val="0"/>
          <w:marBottom w:val="0"/>
          <w:divBdr>
            <w:top w:val="none" w:sz="0" w:space="0" w:color="auto"/>
            <w:left w:val="none" w:sz="0" w:space="0" w:color="auto"/>
            <w:bottom w:val="none" w:sz="0" w:space="0" w:color="auto"/>
            <w:right w:val="none" w:sz="0" w:space="0" w:color="auto"/>
          </w:divBdr>
        </w:div>
        <w:div w:id="1952200757">
          <w:marLeft w:val="547"/>
          <w:marRight w:val="0"/>
          <w:marTop w:val="0"/>
          <w:marBottom w:val="0"/>
          <w:divBdr>
            <w:top w:val="none" w:sz="0" w:space="0" w:color="auto"/>
            <w:left w:val="none" w:sz="0" w:space="0" w:color="auto"/>
            <w:bottom w:val="none" w:sz="0" w:space="0" w:color="auto"/>
            <w:right w:val="none" w:sz="0" w:space="0" w:color="auto"/>
          </w:divBdr>
        </w:div>
        <w:div w:id="525295929">
          <w:marLeft w:val="547"/>
          <w:marRight w:val="0"/>
          <w:marTop w:val="0"/>
          <w:marBottom w:val="0"/>
          <w:divBdr>
            <w:top w:val="none" w:sz="0" w:space="0" w:color="auto"/>
            <w:left w:val="none" w:sz="0" w:space="0" w:color="auto"/>
            <w:bottom w:val="none" w:sz="0" w:space="0" w:color="auto"/>
            <w:right w:val="none" w:sz="0" w:space="0" w:color="auto"/>
          </w:divBdr>
        </w:div>
        <w:div w:id="1475759578">
          <w:marLeft w:val="547"/>
          <w:marRight w:val="0"/>
          <w:marTop w:val="0"/>
          <w:marBottom w:val="0"/>
          <w:divBdr>
            <w:top w:val="none" w:sz="0" w:space="0" w:color="auto"/>
            <w:left w:val="none" w:sz="0" w:space="0" w:color="auto"/>
            <w:bottom w:val="none" w:sz="0" w:space="0" w:color="auto"/>
            <w:right w:val="none" w:sz="0" w:space="0" w:color="auto"/>
          </w:divBdr>
        </w:div>
        <w:div w:id="936672566">
          <w:marLeft w:val="547"/>
          <w:marRight w:val="0"/>
          <w:marTop w:val="0"/>
          <w:marBottom w:val="0"/>
          <w:divBdr>
            <w:top w:val="none" w:sz="0" w:space="0" w:color="auto"/>
            <w:left w:val="none" w:sz="0" w:space="0" w:color="auto"/>
            <w:bottom w:val="none" w:sz="0" w:space="0" w:color="auto"/>
            <w:right w:val="none" w:sz="0" w:space="0" w:color="auto"/>
          </w:divBdr>
        </w:div>
      </w:divsChild>
    </w:div>
    <w:div w:id="1113327663">
      <w:bodyDiv w:val="1"/>
      <w:marLeft w:val="0"/>
      <w:marRight w:val="0"/>
      <w:marTop w:val="0"/>
      <w:marBottom w:val="0"/>
      <w:divBdr>
        <w:top w:val="none" w:sz="0" w:space="0" w:color="auto"/>
        <w:left w:val="none" w:sz="0" w:space="0" w:color="auto"/>
        <w:bottom w:val="none" w:sz="0" w:space="0" w:color="auto"/>
        <w:right w:val="none" w:sz="0" w:space="0" w:color="auto"/>
      </w:divBdr>
    </w:div>
    <w:div w:id="1127507506">
      <w:bodyDiv w:val="1"/>
      <w:marLeft w:val="0"/>
      <w:marRight w:val="0"/>
      <w:marTop w:val="0"/>
      <w:marBottom w:val="0"/>
      <w:divBdr>
        <w:top w:val="none" w:sz="0" w:space="0" w:color="auto"/>
        <w:left w:val="none" w:sz="0" w:space="0" w:color="auto"/>
        <w:bottom w:val="none" w:sz="0" w:space="0" w:color="auto"/>
        <w:right w:val="none" w:sz="0" w:space="0" w:color="auto"/>
      </w:divBdr>
    </w:div>
    <w:div w:id="1140072744">
      <w:bodyDiv w:val="1"/>
      <w:marLeft w:val="0"/>
      <w:marRight w:val="0"/>
      <w:marTop w:val="0"/>
      <w:marBottom w:val="0"/>
      <w:divBdr>
        <w:top w:val="none" w:sz="0" w:space="0" w:color="auto"/>
        <w:left w:val="none" w:sz="0" w:space="0" w:color="auto"/>
        <w:bottom w:val="none" w:sz="0" w:space="0" w:color="auto"/>
        <w:right w:val="none" w:sz="0" w:space="0" w:color="auto"/>
      </w:divBdr>
    </w:div>
    <w:div w:id="1156990854">
      <w:bodyDiv w:val="1"/>
      <w:marLeft w:val="0"/>
      <w:marRight w:val="0"/>
      <w:marTop w:val="0"/>
      <w:marBottom w:val="0"/>
      <w:divBdr>
        <w:top w:val="none" w:sz="0" w:space="0" w:color="auto"/>
        <w:left w:val="none" w:sz="0" w:space="0" w:color="auto"/>
        <w:bottom w:val="none" w:sz="0" w:space="0" w:color="auto"/>
        <w:right w:val="none" w:sz="0" w:space="0" w:color="auto"/>
      </w:divBdr>
    </w:div>
    <w:div w:id="1215195790">
      <w:bodyDiv w:val="1"/>
      <w:marLeft w:val="0"/>
      <w:marRight w:val="0"/>
      <w:marTop w:val="0"/>
      <w:marBottom w:val="0"/>
      <w:divBdr>
        <w:top w:val="none" w:sz="0" w:space="0" w:color="auto"/>
        <w:left w:val="none" w:sz="0" w:space="0" w:color="auto"/>
        <w:bottom w:val="none" w:sz="0" w:space="0" w:color="auto"/>
        <w:right w:val="none" w:sz="0" w:space="0" w:color="auto"/>
      </w:divBdr>
    </w:div>
    <w:div w:id="1251038820">
      <w:bodyDiv w:val="1"/>
      <w:marLeft w:val="0"/>
      <w:marRight w:val="0"/>
      <w:marTop w:val="0"/>
      <w:marBottom w:val="0"/>
      <w:divBdr>
        <w:top w:val="none" w:sz="0" w:space="0" w:color="auto"/>
        <w:left w:val="none" w:sz="0" w:space="0" w:color="auto"/>
        <w:bottom w:val="none" w:sz="0" w:space="0" w:color="auto"/>
        <w:right w:val="none" w:sz="0" w:space="0" w:color="auto"/>
      </w:divBdr>
    </w:div>
    <w:div w:id="1577084194">
      <w:bodyDiv w:val="1"/>
      <w:marLeft w:val="0"/>
      <w:marRight w:val="0"/>
      <w:marTop w:val="0"/>
      <w:marBottom w:val="0"/>
      <w:divBdr>
        <w:top w:val="none" w:sz="0" w:space="0" w:color="auto"/>
        <w:left w:val="none" w:sz="0" w:space="0" w:color="auto"/>
        <w:bottom w:val="none" w:sz="0" w:space="0" w:color="auto"/>
        <w:right w:val="none" w:sz="0" w:space="0" w:color="auto"/>
      </w:divBdr>
    </w:div>
    <w:div w:id="1680889751">
      <w:bodyDiv w:val="1"/>
      <w:marLeft w:val="0"/>
      <w:marRight w:val="0"/>
      <w:marTop w:val="0"/>
      <w:marBottom w:val="0"/>
      <w:divBdr>
        <w:top w:val="none" w:sz="0" w:space="0" w:color="auto"/>
        <w:left w:val="none" w:sz="0" w:space="0" w:color="auto"/>
        <w:bottom w:val="none" w:sz="0" w:space="0" w:color="auto"/>
        <w:right w:val="none" w:sz="0" w:space="0" w:color="auto"/>
      </w:divBdr>
    </w:div>
    <w:div w:id="1721858621">
      <w:bodyDiv w:val="1"/>
      <w:marLeft w:val="0"/>
      <w:marRight w:val="0"/>
      <w:marTop w:val="0"/>
      <w:marBottom w:val="0"/>
      <w:divBdr>
        <w:top w:val="none" w:sz="0" w:space="0" w:color="auto"/>
        <w:left w:val="none" w:sz="0" w:space="0" w:color="auto"/>
        <w:bottom w:val="none" w:sz="0" w:space="0" w:color="auto"/>
        <w:right w:val="none" w:sz="0" w:space="0" w:color="auto"/>
      </w:divBdr>
    </w:div>
    <w:div w:id="176988206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1229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361B9-B8C9-452E-9BB3-5DF9F4D073CE}">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4B1D6F10-E9F0-4B51-9238-03B33F0E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56821</Words>
  <Characters>32389</Characters>
  <Application>Microsoft Office Word</Application>
  <DocSecurity>4</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89032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Ieva Baltaduonytė</cp:lastModifiedBy>
  <cp:revision>2</cp:revision>
  <dcterms:created xsi:type="dcterms:W3CDTF">2024-06-13T13:50:00Z</dcterms:created>
  <dcterms:modified xsi:type="dcterms:W3CDTF">2024-06-13T13:50:00Z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