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8409B" w14:textId="041FEAEB" w:rsidR="00E859D3" w:rsidRPr="00E859D3" w:rsidRDefault="00833805" w:rsidP="00E859D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LIETUVOS RESPUBLIKOS</w:t>
      </w:r>
      <w:r w:rsidR="00E859D3" w:rsidRPr="00E859D3">
        <w:rPr>
          <w:rFonts w:asciiTheme="majorBidi" w:hAnsiTheme="majorBidi" w:cstheme="majorBidi"/>
          <w:b/>
          <w:bCs/>
          <w:sz w:val="24"/>
          <w:szCs w:val="24"/>
        </w:rPr>
        <w:t xml:space="preserve"> ENERGETIKOS MINISTRO ĮSAKYMO „DĖL ENERGETIKOS MINISTRO 2022 M. RUGSĖJO 7 D. ĮSAKYMO NR. 1-265 „DĖL 2021–2030 METŲ PLĖTROS PROGRAMOS VALDYTOJOS LIETUVOS RESPUBLIKOS ENERGETIKOS MINISTERIJOS ENERGETIKOS PLĖTROS PROGRAMOS PAŽANGOS PRIEMONĖS NR. 03-001-06-03-02 „DIDINTI ATSINAUJINANČIŲ ENERGIJOS IŠTEKLIŲ DALĮ, UŽTIKRINANT ATSINAUJINANČIŲ IŠTEKLIŲ INTEGRACIJĄ Į ELEKTROS TINKLUS“ APRAŠO PATVIRTINIMO“ PAKEITIMO“ PROJEKTO</w:t>
      </w:r>
    </w:p>
    <w:p w14:paraId="459366BB" w14:textId="7C450CE9" w:rsidR="00E859D3" w:rsidRDefault="00E859D3" w:rsidP="00E859D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>
        <w:rPr>
          <w:rFonts w:asciiTheme="majorBidi" w:hAnsiTheme="majorBidi" w:cstheme="majorBidi"/>
          <w:b/>
          <w:bCs/>
          <w:sz w:val="24"/>
          <w:szCs w:val="24"/>
          <w:lang w:val="lt-LT"/>
        </w:rPr>
        <w:t>VIEŠOSIOS KONSULTACIJOS</w:t>
      </w:r>
      <w:r w:rsidRPr="00E859D3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 PAŽYMA</w:t>
      </w:r>
    </w:p>
    <w:p w14:paraId="5CB7D5B4" w14:textId="77777777" w:rsidR="003243ED" w:rsidRDefault="003243ED" w:rsidP="00E859D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833"/>
        <w:gridCol w:w="4332"/>
      </w:tblGrid>
      <w:tr w:rsidR="00E859D3" w14:paraId="30244DC7" w14:textId="77777777" w:rsidTr="00E859D3">
        <w:tc>
          <w:tcPr>
            <w:tcW w:w="2830" w:type="dxa"/>
          </w:tcPr>
          <w:p w14:paraId="700DD16C" w14:textId="0542F01F" w:rsidR="00E859D3" w:rsidRPr="00E859D3" w:rsidRDefault="00E859D3" w:rsidP="00E859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Pastabos pateikimo laikas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 xml:space="preserve"> (pastabos teikėjo vardas ir pavardė nenurodomi)</w:t>
            </w:r>
          </w:p>
        </w:tc>
        <w:tc>
          <w:tcPr>
            <w:tcW w:w="5833" w:type="dxa"/>
          </w:tcPr>
          <w:p w14:paraId="5D281BB0" w14:textId="5F0250C6" w:rsidR="00E859D3" w:rsidRPr="00E859D3" w:rsidRDefault="00E859D3" w:rsidP="00E859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Pastaba</w:t>
            </w:r>
          </w:p>
        </w:tc>
        <w:tc>
          <w:tcPr>
            <w:tcW w:w="4332" w:type="dxa"/>
          </w:tcPr>
          <w:p w14:paraId="66BB07BA" w14:textId="01262697" w:rsidR="00E859D3" w:rsidRPr="00E859D3" w:rsidRDefault="00E859D3" w:rsidP="00E859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Lietuvos Respublikos energetikos ministerijos komentarai</w:t>
            </w:r>
          </w:p>
        </w:tc>
      </w:tr>
      <w:tr w:rsidR="00E859D3" w:rsidRPr="00785C33" w14:paraId="5BA55049" w14:textId="77777777" w:rsidTr="00E859D3">
        <w:tc>
          <w:tcPr>
            <w:tcW w:w="2830" w:type="dxa"/>
          </w:tcPr>
          <w:p w14:paraId="7BC891A6" w14:textId="0501F4DB" w:rsidR="00E859D3" w:rsidRPr="00E859D3" w:rsidRDefault="00785C3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Gauta</w:t>
            </w:r>
            <w:r w:rsid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elektroniniu paštu </w:t>
            </w:r>
            <w:r w:rsidR="00E859D3"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2024 m. g</w:t>
            </w:r>
            <w:r w:rsid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ruodžio 10 d.</w:t>
            </w:r>
          </w:p>
        </w:tc>
        <w:tc>
          <w:tcPr>
            <w:tcW w:w="5833" w:type="dxa"/>
          </w:tcPr>
          <w:p w14:paraId="43FC679F" w14:textId="489353E2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Rengiamame projekte galima maty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du dalykus kurie kelia susir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ū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pinim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ą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tai:</w:t>
            </w:r>
          </w:p>
          <w:p w14:paraId="45201C33" w14:textId="49FA4968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1. Finansavimosi galimyb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ė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 sumenksta iki, ko gero, nulio nelikus garan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j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ų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, kuri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ų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niekas netur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ė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s, jei ministerija ar</w:t>
            </w:r>
          </w:p>
          <w:p w14:paraId="7BE6A5CB" w14:textId="77777777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subsidijavimo projekt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ų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valdymo 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į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staigos nebesuteikin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ė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 statuso asmeniui ar ir jo valdomam obiektui, jog subsidija</w:t>
            </w:r>
          </w:p>
          <w:p w14:paraId="5A7351B5" w14:textId="3D63E0B0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patvir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nta/priskirta ar alokuota, atvejui, kada para</w:t>
            </w:r>
            <w:r w:rsidR="009F4ABF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iškos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priimamos jau po sprendinio 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į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rengimo/pr</w:t>
            </w:r>
            <w:r w:rsidR="000A3040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davimo proced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ū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ros.</w:t>
            </w:r>
          </w:p>
          <w:p w14:paraId="15127B6D" w14:textId="6A8DA6D3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2. Ar yra b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nas skirstymas 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į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Vilniaus bei vakar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ų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Lietuvos regionus? B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ū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na, kai lieka l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ėšų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, ta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č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iau jomis pasinaudo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</w:p>
          <w:p w14:paraId="58887CA6" w14:textId="0115C2F1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nebelieka galimyb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ė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 d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ė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l geografinio ribojimo.</w:t>
            </w:r>
          </w:p>
        </w:tc>
        <w:tc>
          <w:tcPr>
            <w:tcW w:w="4332" w:type="dxa"/>
          </w:tcPr>
          <w:p w14:paraId="31F005A2" w14:textId="77777777" w:rsidR="00E859D3" w:rsidRDefault="009F4ABF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Dėkojame už pastabas.</w:t>
            </w:r>
          </w:p>
          <w:p w14:paraId="0722C326" w14:textId="6D86B7B9" w:rsidR="009F4ABF" w:rsidRPr="00E859D3" w:rsidRDefault="00C105CD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Negavome ž</w:t>
            </w:r>
            <w:r w:rsidR="0086679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enklių i</w:t>
            </w:r>
            <w:r w:rsidR="003D0FA6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ndikacijų iš rinkos dalyvių, kad jie nesutiktų </w:t>
            </w:r>
            <w:r w:rsidR="0086679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įsirenginėti saulės elektrinių, jeigu neturėtų galimybės rezervuotis pinigus iš anksto.</w:t>
            </w:r>
            <w:r w:rsidR="000755E5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5A217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Siekiant, kad pasiūlyti sprendimai veiktų, b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us sustiprintas proceso</w:t>
            </w:r>
            <w:r w:rsidR="00595702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skaidrumas ir informavimas – potencialūs saulės elektrinių įrengėjai turės </w:t>
            </w:r>
            <w:r w:rsidR="00E942C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galimybes matyti</w:t>
            </w:r>
            <w:r w:rsidR="00846720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kiekvieną dieną atnaujinamą informaciją</w:t>
            </w:r>
            <w:r w:rsidR="00E942C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, kiek pinigų dotacijoms yra likę. </w:t>
            </w:r>
            <w:r w:rsidR="00846720">
              <w:rPr>
                <w:rFonts w:asciiTheme="majorBidi" w:hAnsiTheme="majorBidi" w:cstheme="majorBidi"/>
                <w:sz w:val="24"/>
                <w:szCs w:val="24"/>
                <w:lang w:val="lt-LT"/>
              </w:rPr>
              <w:t>Bus dedamos pastangos</w:t>
            </w:r>
            <w:r w:rsidR="007C14C6">
              <w:rPr>
                <w:rFonts w:asciiTheme="majorBidi" w:hAnsiTheme="majorBidi" w:cstheme="majorBidi"/>
                <w:sz w:val="24"/>
                <w:szCs w:val="24"/>
                <w:lang w:val="lt-LT"/>
              </w:rPr>
              <w:t>, kad rasti papildomų lėšų ir užtikrinti finansavimo tęstinumą.</w:t>
            </w:r>
            <w:r w:rsidR="00E942C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</w:p>
        </w:tc>
      </w:tr>
      <w:tr w:rsidR="00E859D3" w:rsidRPr="00785C33" w14:paraId="443C1D00" w14:textId="77777777" w:rsidTr="00E859D3">
        <w:tc>
          <w:tcPr>
            <w:tcW w:w="2830" w:type="dxa"/>
          </w:tcPr>
          <w:p w14:paraId="7005E54C" w14:textId="1202346A" w:rsidR="00E859D3" w:rsidRPr="00E859D3" w:rsidRDefault="00785C3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Gauta</w:t>
            </w:r>
            <w:r w:rsid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elektroniniu paštu 2024 m. gruodžio 6 d.</w:t>
            </w:r>
          </w:p>
        </w:tc>
        <w:tc>
          <w:tcPr>
            <w:tcW w:w="5833" w:type="dxa"/>
          </w:tcPr>
          <w:p w14:paraId="60309558" w14:textId="4D4C1ED4" w:rsidR="007679BD" w:rsidRPr="007679BD" w:rsidRDefault="007679BD" w:rsidP="007679B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7679B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Labai teigiamai vertiname siūlomus finansavimo sąlygų pakeitimus/ projektus:</w:t>
            </w:r>
          </w:p>
          <w:p w14:paraId="78BD2772" w14:textId="2D38F659" w:rsidR="007679BD" w:rsidRPr="007679BD" w:rsidRDefault="007679BD" w:rsidP="007679B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7679B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1. Paraiška ir mokėjimo prašymas pateikiami vienu metu po elektrinės įrengimo - būtų labai patogu ir tikrai sumažintų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7679BD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"dokumentacijos naštą". Mūsų šeima neseniai įsirengė saulės elektrinę ant namo stogo, turime surinkę </w:t>
            </w:r>
            <w:r w:rsidRPr="007679BD">
              <w:rPr>
                <w:rFonts w:asciiTheme="majorBidi" w:hAnsiTheme="majorBidi" w:cstheme="majorBidi"/>
                <w:sz w:val="24"/>
                <w:szCs w:val="24"/>
                <w:lang w:val="lt-LT"/>
              </w:rPr>
              <w:lastRenderedPageBreak/>
              <w:t>visus reikiamus dokumentus ir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7679B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laukiame būsimos paramos pradžios - todėl būtų daug patogiau, jei dokumentus galėtume pateikti vienu metu, o ne atskirais etapais.</w:t>
            </w:r>
          </w:p>
          <w:p w14:paraId="0B9F3F1F" w14:textId="77777777" w:rsidR="007679BD" w:rsidRPr="007679BD" w:rsidRDefault="007679BD" w:rsidP="007679B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679B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Vienos pakopos dokumentų priėmimas labai supaprastinų procesą.</w:t>
            </w:r>
          </w:p>
          <w:p w14:paraId="514F14AC" w14:textId="11C71AFF" w:rsidR="007679BD" w:rsidRPr="007679BD" w:rsidRDefault="007679BD" w:rsidP="000F400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679B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Manome, kad tai padėtų spręsti ir nepanaudotų lėšų problemą. Šiuo metu ne mažai žmonių (turime tokių ir savo aplinkoje) yra</w:t>
            </w:r>
            <w:r w:rsidR="000F400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7679B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suinteresuoti "rezervuoti" lėšas ir vadovaujasi principu "bus, jeigu sugalvosim įsirengti". O tie, kurie iš tiesų atsakingai planuoja ir</w:t>
            </w:r>
            <w:r w:rsidR="000F400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7679B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įsirengia elektrines susiduria su tuo, kad lėšų nebelieka (nes "kažkas dar tik galvoja, kad norėtų įsirengti")" ir turi laukti kito kvietimo</w:t>
            </w:r>
          </w:p>
          <w:p w14:paraId="61D8DE41" w14:textId="77777777" w:rsidR="007679BD" w:rsidRPr="007679BD" w:rsidRDefault="007679BD" w:rsidP="007679B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679B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paramai.</w:t>
            </w:r>
          </w:p>
          <w:p w14:paraId="5E5697E6" w14:textId="1BB343AC" w:rsidR="007679BD" w:rsidRPr="007679BD" w:rsidRDefault="007679BD" w:rsidP="000F400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679B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2. Finansuojamo projekto regioniškumo naikinimas – pritariame, nes objektų skirstyme į regionus nematome jokios logiškos</w:t>
            </w:r>
            <w:r w:rsidR="000F400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7679B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naudos.</w:t>
            </w:r>
          </w:p>
          <w:p w14:paraId="2D3A7A37" w14:textId="2E914141" w:rsidR="00E859D3" w:rsidRPr="00E859D3" w:rsidRDefault="007679BD" w:rsidP="000F400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7679B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Tikimės, kad šie siūlomi finansavimo proceso pakeitimai išvys dienos šviesą ir jau kitais metais galėsime pasidžiaugti paprastesne</w:t>
            </w:r>
            <w:r w:rsidR="000F400D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0F400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paramos gavimo procedūra.</w:t>
            </w:r>
          </w:p>
        </w:tc>
        <w:tc>
          <w:tcPr>
            <w:tcW w:w="4332" w:type="dxa"/>
          </w:tcPr>
          <w:p w14:paraId="6E11E7D0" w14:textId="77777777" w:rsidR="00E859D3" w:rsidRDefault="00AA31C5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lastRenderedPageBreak/>
              <w:t>Dėkojame už pritarimą mūsų pasiūlymams.</w:t>
            </w:r>
          </w:p>
          <w:p w14:paraId="376F4F25" w14:textId="0E9FDAD7" w:rsidR="00AA31C5" w:rsidRPr="00E859D3" w:rsidRDefault="00AA31C5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Dėl regioniškumo naikinimo – jis priklauso nuo finansavimo šaltinio. Artimiausi kvietimai bus finansuojami iš E</w:t>
            </w:r>
            <w:r w:rsidR="005F3DBE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konomikos gaivinimo ir atsparumo didinimo </w:t>
            </w:r>
            <w:r w:rsidR="005F3DBE">
              <w:rPr>
                <w:rFonts w:asciiTheme="majorBidi" w:hAnsiTheme="majorBidi" w:cstheme="majorBidi"/>
                <w:sz w:val="24"/>
                <w:szCs w:val="24"/>
                <w:lang w:val="lt-LT"/>
              </w:rPr>
              <w:lastRenderedPageBreak/>
              <w:t>priemonės pinigų. Ši priemonė nenumato ir nereikalauja regioniškumo. Tačiau tais atvejais, kai finansuojama iš Europos Sąjungos investicijų programos – regioniškumas atsiranda, kadangi</w:t>
            </w:r>
            <w:r w:rsidR="00E02556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šioje programoje numatyti</w:t>
            </w:r>
            <w:r w:rsidR="005F3DBE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Europos regioninės plėtros fond</w:t>
            </w:r>
            <w:r w:rsidR="00E02556">
              <w:rPr>
                <w:rFonts w:asciiTheme="majorBidi" w:hAnsiTheme="majorBidi" w:cstheme="majorBidi"/>
                <w:sz w:val="24"/>
                <w:szCs w:val="24"/>
                <w:lang w:val="lt-LT"/>
              </w:rPr>
              <w:t>o pinigai</w:t>
            </w:r>
            <w:r w:rsidR="005F3DBE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yra sk</w:t>
            </w:r>
            <w:r w:rsidR="00E02556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irti tik</w:t>
            </w:r>
            <w:r w:rsidR="00B75DA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saulės elektrinėms finansuoti</w:t>
            </w:r>
            <w:r w:rsidR="005F3DBE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Vidurio ir vakarų Lietuvos regionui.</w:t>
            </w:r>
            <w:r w:rsidR="00FB0999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Sostinės regionas arba visa Lietuva neatitinka šio fondo taikomų kriterijų pinigams šiam tikslui</w:t>
            </w:r>
            <w:r w:rsidR="000B2A86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gauti, nes nėra atsiliekantys Europos Sąjungos regionai.</w:t>
            </w:r>
          </w:p>
        </w:tc>
      </w:tr>
      <w:tr w:rsidR="00E859D3" w:rsidRPr="00785C33" w14:paraId="11BE19CE" w14:textId="77777777" w:rsidTr="00E859D3">
        <w:tc>
          <w:tcPr>
            <w:tcW w:w="2830" w:type="dxa"/>
          </w:tcPr>
          <w:p w14:paraId="51316BAE" w14:textId="397D1D14" w:rsidR="00E859D3" w:rsidRPr="00E859D3" w:rsidRDefault="00785C3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lastRenderedPageBreak/>
              <w:t>Gauta</w:t>
            </w:r>
            <w:r w:rsid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elektroniniu paštu 2024 m. gruodžio 6 d.</w:t>
            </w:r>
          </w:p>
        </w:tc>
        <w:tc>
          <w:tcPr>
            <w:tcW w:w="5833" w:type="dxa"/>
          </w:tcPr>
          <w:p w14:paraId="3F4B2B27" w14:textId="0A59464D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Labai sveikin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nos id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ė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jos, pritariame tokiam biurokra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jos ma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ž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inimui. Pats rinkoje dirbu 7 metus, ank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šč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iau buvo tokie</w:t>
            </w:r>
          </w:p>
          <w:p w14:paraId="41C35102" w14:textId="4F5B2D4B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kvie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mai kai pirmiau 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į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sirengi, tada pretenduoji ir klientams jie 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ko.</w:t>
            </w:r>
          </w:p>
          <w:p w14:paraId="12ED60B8" w14:textId="28DE2165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Tik tur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ė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kite mintyje, kad susilauksite daug klausim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ų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„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krai mano namas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nkamas gau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paramai?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“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nes tam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kra dalis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asmen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ų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bijos prisiim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rizik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ą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ant sav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ę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 spr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ę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ar namas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nkamas paramai, ypa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č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kai ten registruotas verslo plotas. Tai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reikt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ų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pagalvo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kaip tokius klausimus automa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š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kai atsaky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/ 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.</w:t>
            </w:r>
          </w:p>
          <w:p w14:paraId="2E4DD5C0" w14:textId="34594DAB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š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m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ū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ų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pus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ė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 b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ū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t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ų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pastaba, kad galu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niam vartotojui visada reikalingas ai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š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kumas, kada bus galima teik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parai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š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kas ir kas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nu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ks jeigu jis nesp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ė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jo pateik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parai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š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kos, o l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ėš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os baig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ė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si.</w:t>
            </w:r>
          </w:p>
          <w:p w14:paraId="4652A9AA" w14:textId="2B03298A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lastRenderedPageBreak/>
              <w:t>PVZ. Paskelbsite kvie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ą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, kad galima pretenduo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k 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į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sirengus elektrines. Kvie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mo l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ėš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os eis 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į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pabaig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ą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ir gyventojai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prad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ė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 bijo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staty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elektrines, nes matys, kad l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ėš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os 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į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pabaig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ą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ir nebus ai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š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ku kada bus kitas kvie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mas ir kokios jo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finansavimo s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ą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lygos bus.</w:t>
            </w:r>
          </w:p>
          <w:p w14:paraId="6C43B2AD" w14:textId="77777777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Si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ū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lymas:</w:t>
            </w:r>
          </w:p>
          <w:p w14:paraId="7C2A8178" w14:textId="4891679C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1. Dary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param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ą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t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ę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n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ę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. Pasibaigus vienam kvie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mui i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š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karto skelb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kit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ą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, arba nuolat pinigais papildy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t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ą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pa</w:t>
            </w:r>
            <w:r w:rsidR="007D67A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</w:p>
          <w:p w14:paraId="05B5C4B8" w14:textId="56B93352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kvie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ą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. Nes 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ž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mones stabdo neai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š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kumas kaip bus su kitomis paramomis ir ar jie sp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ė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s 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į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šį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kvie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ą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ar ne. Niekas</w:t>
            </w:r>
          </w:p>
          <w:p w14:paraId="29487E84" w14:textId="0C7D6031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nenori lik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ant ledo be paramos.</w:t>
            </w:r>
          </w:p>
          <w:p w14:paraId="5D2A6638" w14:textId="0D409EC5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2. ARBA visada ai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š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kiai komunikuo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, kad pvz</w:t>
            </w:r>
            <w:r w:rsidR="007D67A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.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2025 met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ų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I ketvir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tį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yra 35 mln kvie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mas, pra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š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ome dalyvau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.</w:t>
            </w:r>
          </w:p>
          <w:p w14:paraId="3EA04B22" w14:textId="7732E816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Pasibaigus 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š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ioms l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ėš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oms X met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ų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X ketvir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tį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planuojamas kvie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mas TOKIOMIS PAT s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ą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lygomis, tod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ė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l nebijokite ir</w:t>
            </w:r>
          </w:p>
          <w:p w14:paraId="266F3A8F" w14:textId="77777777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montuokit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ė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s.</w:t>
            </w:r>
          </w:p>
          <w:p w14:paraId="1426464F" w14:textId="226AC95B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Ai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š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ki komunikacija kada bus sekantys kvie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mai ir kad jie nesibaigs paska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nt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ų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ž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mones nebijo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montuo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s, nes dabar</w:t>
            </w:r>
          </w:p>
          <w:p w14:paraId="6FFCD484" w14:textId="420E67C0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krai susiduriame su klient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ų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abejon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ė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mis, ar 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krai galiu, o jei nepatvir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ns, o jei nebus kvie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lt-LT"/>
              </w:rPr>
              <w:t>ti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mo ir pana</w:t>
            </w:r>
            <w:r w:rsidRPr="00E859D3">
              <w:rPr>
                <w:rFonts w:asciiTheme="majorBidi" w:hAnsiTheme="majorBidi" w:cstheme="majorBidi" w:hint="eastAsia"/>
                <w:sz w:val="24"/>
                <w:szCs w:val="24"/>
                <w:lang w:val="lt-LT"/>
              </w:rPr>
              <w:t>š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iai.</w:t>
            </w:r>
          </w:p>
        </w:tc>
        <w:tc>
          <w:tcPr>
            <w:tcW w:w="4332" w:type="dxa"/>
          </w:tcPr>
          <w:p w14:paraId="129854E3" w14:textId="6098EFB7" w:rsidR="00E859D3" w:rsidRDefault="007D67A4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lastRenderedPageBreak/>
              <w:t>Dėkojame už pritarimą pasiūlymams iš esmės bei pastabas.</w:t>
            </w:r>
            <w:r w:rsidR="009D4962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Priimame domėn Jūsų pastabas dėl </w:t>
            </w:r>
            <w:r w:rsidR="00506247">
              <w:rPr>
                <w:rFonts w:asciiTheme="majorBidi" w:hAnsiTheme="majorBidi" w:cstheme="majorBidi"/>
                <w:sz w:val="24"/>
                <w:szCs w:val="24"/>
                <w:lang w:val="lt-LT"/>
              </w:rPr>
              <w:t>finansavimo tęstinumo ir aiškios komunikacijos.</w:t>
            </w:r>
          </w:p>
          <w:p w14:paraId="5171B1C8" w14:textId="10BA6FA3" w:rsidR="007D67A4" w:rsidRPr="00E859D3" w:rsidRDefault="007D67A4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</w:tr>
      <w:tr w:rsidR="00E859D3" w:rsidRPr="00785C33" w14:paraId="3AD82E57" w14:textId="77777777" w:rsidTr="00E859D3">
        <w:tc>
          <w:tcPr>
            <w:tcW w:w="2830" w:type="dxa"/>
          </w:tcPr>
          <w:p w14:paraId="44F0A6A3" w14:textId="55CC9CCB" w:rsidR="00E859D3" w:rsidRPr="00E859D3" w:rsidRDefault="00785C3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Gauta</w:t>
            </w:r>
            <w:r w:rsid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elektroniniu paštu 2024 m. gruodžio 4 d.</w:t>
            </w:r>
          </w:p>
        </w:tc>
        <w:tc>
          <w:tcPr>
            <w:tcW w:w="5833" w:type="dxa"/>
          </w:tcPr>
          <w:p w14:paraId="5F359AE6" w14:textId="10AD0932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Sveiki, puikus pasiūlymas, pilnai pritariu visoms išdėstytoms tezėms. 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Tai tikrai labai palengvins ir paspartins visą procesą. Protingas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E859D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sprendimas.</w:t>
            </w:r>
          </w:p>
        </w:tc>
        <w:tc>
          <w:tcPr>
            <w:tcW w:w="4332" w:type="dxa"/>
          </w:tcPr>
          <w:p w14:paraId="268441AC" w14:textId="13D9102D" w:rsidR="00E859D3" w:rsidRPr="00E859D3" w:rsidRDefault="00506247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Dėkojame už išreikštą pritarimą </w:t>
            </w:r>
            <w:r w:rsidR="001C7A22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pasiūlytiems sprendimams.</w:t>
            </w:r>
          </w:p>
        </w:tc>
      </w:tr>
      <w:tr w:rsidR="00E859D3" w14:paraId="19C282AA" w14:textId="77777777" w:rsidTr="00E859D3">
        <w:tc>
          <w:tcPr>
            <w:tcW w:w="2830" w:type="dxa"/>
          </w:tcPr>
          <w:p w14:paraId="127684B1" w14:textId="1732B079" w:rsidR="00E859D3" w:rsidRPr="00E859D3" w:rsidRDefault="00785C3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Gauta</w:t>
            </w:r>
            <w:r w:rsidR="00E859D3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elektroniniu paštu 2024 m. gruodžio 4 d.</w:t>
            </w:r>
          </w:p>
        </w:tc>
        <w:tc>
          <w:tcPr>
            <w:tcW w:w="5833" w:type="dxa"/>
          </w:tcPr>
          <w:p w14:paraId="5A2E3855" w14:textId="00795DCF" w:rsidR="00E859D3" w:rsidRPr="007679BD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</w:rPr>
              <w:t>Planavome įsirengti saulės elektrinę ant namo stogo. Tačiau negavome ESO sąlygų, kurios mus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859D3">
              <w:rPr>
                <w:rFonts w:asciiTheme="majorBidi" w:hAnsiTheme="majorBidi" w:cstheme="majorBidi"/>
                <w:sz w:val="24"/>
                <w:szCs w:val="24"/>
              </w:rPr>
              <w:t>tenkintų, nes šiuo metu tinklas pilnai užpildytas jei norėtume prisijungti turėtume sumokėti apie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C7A22">
              <w:rPr>
                <w:rFonts w:asciiTheme="majorBidi" w:hAnsiTheme="majorBidi" w:cstheme="majorBidi"/>
                <w:sz w:val="24"/>
                <w:szCs w:val="24"/>
              </w:rPr>
              <w:t xml:space="preserve">XX </w:t>
            </w:r>
            <w:r w:rsidRPr="00E859D3">
              <w:rPr>
                <w:rFonts w:asciiTheme="majorBidi" w:hAnsiTheme="majorBidi" w:cstheme="majorBidi"/>
                <w:sz w:val="24"/>
                <w:szCs w:val="24"/>
              </w:rPr>
              <w:t xml:space="preserve">eur, kas yra sveiku protu nesuvokiama suma. </w:t>
            </w:r>
            <w:r w:rsidRPr="007679BD">
              <w:rPr>
                <w:rFonts w:asciiTheme="majorBidi" w:hAnsiTheme="majorBidi" w:cstheme="majorBidi"/>
                <w:sz w:val="24"/>
                <w:szCs w:val="24"/>
              </w:rPr>
              <w:t>Tokių kaip mes manau yra daugybė. Pats laikas tokiems asmenims, kaip mes, skirti paramą kaupiklių įsigijimui, nes mums nėra sudaromos sąlygos</w:t>
            </w:r>
          </w:p>
          <w:p w14:paraId="74A1E2CA" w14:textId="1A3D288B" w:rsidR="00E859D3" w:rsidRPr="007679BD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79BD">
              <w:rPr>
                <w:rFonts w:asciiTheme="majorBidi" w:hAnsiTheme="majorBidi" w:cstheme="majorBidi"/>
                <w:sz w:val="24"/>
                <w:szCs w:val="24"/>
              </w:rPr>
              <w:t xml:space="preserve">elektrinių įsirengimui vien todėl, kad gyvename urbanizuotoje vietovėje, kur saulės elektrinių yra daug. </w:t>
            </w:r>
            <w:r w:rsidRPr="007679B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Prašau atkreipti į tai dėmesį ir sudaryti vienodas sąlygas siekiant energetinės</w:t>
            </w:r>
          </w:p>
          <w:p w14:paraId="67CD3FE8" w14:textId="01865A58" w:rsidR="00E859D3" w:rsidRPr="00E859D3" w:rsidRDefault="00E859D3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859D3">
              <w:rPr>
                <w:rFonts w:asciiTheme="majorBidi" w:hAnsiTheme="majorBidi" w:cstheme="majorBidi"/>
                <w:sz w:val="24"/>
                <w:szCs w:val="24"/>
              </w:rPr>
              <w:t>nepriklausomybės.</w:t>
            </w:r>
          </w:p>
        </w:tc>
        <w:tc>
          <w:tcPr>
            <w:tcW w:w="4332" w:type="dxa"/>
          </w:tcPr>
          <w:p w14:paraId="52E9DFEB" w14:textId="77777777" w:rsidR="00E859D3" w:rsidRDefault="001C7A22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lastRenderedPageBreak/>
              <w:t xml:space="preserve">Dėkojame už informaciją. </w:t>
            </w:r>
          </w:p>
          <w:p w14:paraId="48199DAB" w14:textId="63E515D5" w:rsidR="001C7A22" w:rsidRPr="00F7686A" w:rsidRDefault="001C7A22" w:rsidP="00E859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Parama kaupikliams įsigyti namų ūkių reikmėms yra numatyta. Pirma</w:t>
            </w:r>
            <w:r w:rsidR="00F7686A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F7686A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kvietimas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(~3 mln. eurų) bus skelbiamas 202</w:t>
            </w:r>
            <w:r w:rsidR="008E362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m. </w:t>
            </w:r>
            <w:r w:rsidR="008E362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sausio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mėn.</w:t>
            </w:r>
            <w:r w:rsidR="008E362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pradžioje.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Jeigu kvietimas bus sėkmingas ir norinčių gauti dotaciją bus daug, an</w:t>
            </w:r>
            <w:r w:rsidR="00F7686A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tras kvietimas (~15 mln.) </w:t>
            </w:r>
            <w:r w:rsidR="000E5D87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planuojamas</w:t>
            </w:r>
            <w:r w:rsidR="00F7686A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F7686A" w:rsidRPr="008E362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</w:t>
            </w:r>
            <w:r w:rsidR="000E5D87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F7686A" w:rsidRPr="008E362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m. </w:t>
            </w:r>
            <w:r w:rsidR="00F7686A">
              <w:rPr>
                <w:rFonts w:asciiTheme="majorBidi" w:hAnsiTheme="majorBidi" w:cstheme="majorBidi"/>
                <w:sz w:val="24"/>
                <w:szCs w:val="24"/>
              </w:rPr>
              <w:t>I ketv.</w:t>
            </w:r>
          </w:p>
        </w:tc>
      </w:tr>
    </w:tbl>
    <w:p w14:paraId="096EBD91" w14:textId="77777777" w:rsidR="00E859D3" w:rsidRPr="00E859D3" w:rsidRDefault="00E859D3" w:rsidP="00E859D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</w:p>
    <w:p w14:paraId="22A4BF61" w14:textId="137E48B4" w:rsidR="00B91F52" w:rsidRPr="00E859D3" w:rsidRDefault="001D3897" w:rsidP="001D3897">
      <w:pPr>
        <w:jc w:val="center"/>
        <w:rPr>
          <w:lang w:val="lt-LT"/>
        </w:rPr>
      </w:pPr>
      <w:r>
        <w:rPr>
          <w:lang w:val="lt-LT"/>
        </w:rPr>
        <w:t>____________</w:t>
      </w:r>
    </w:p>
    <w:sectPr w:rsidR="00B91F52" w:rsidRPr="00E859D3" w:rsidSect="00E85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CB717" w14:textId="77777777" w:rsidR="00AB0053" w:rsidRDefault="00AB0053" w:rsidP="00AB0053">
      <w:pPr>
        <w:spacing w:after="0" w:line="240" w:lineRule="auto"/>
      </w:pPr>
      <w:r>
        <w:separator/>
      </w:r>
    </w:p>
  </w:endnote>
  <w:endnote w:type="continuationSeparator" w:id="0">
    <w:p w14:paraId="779BB5F3" w14:textId="77777777" w:rsidR="00AB0053" w:rsidRDefault="00AB0053" w:rsidP="00AB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51554" w14:textId="77777777" w:rsidR="00AB0053" w:rsidRDefault="00AB0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1151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63373" w14:textId="161C8736" w:rsidR="00AB0053" w:rsidRDefault="00AB00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910D7F" w14:textId="77777777" w:rsidR="00AB0053" w:rsidRDefault="00AB00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761F9" w14:textId="77777777" w:rsidR="00AB0053" w:rsidRDefault="00AB0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103CF" w14:textId="77777777" w:rsidR="00AB0053" w:rsidRDefault="00AB0053" w:rsidP="00AB0053">
      <w:pPr>
        <w:spacing w:after="0" w:line="240" w:lineRule="auto"/>
      </w:pPr>
      <w:r>
        <w:separator/>
      </w:r>
    </w:p>
  </w:footnote>
  <w:footnote w:type="continuationSeparator" w:id="0">
    <w:p w14:paraId="6BE6058E" w14:textId="77777777" w:rsidR="00AB0053" w:rsidRDefault="00AB0053" w:rsidP="00AB0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191B9" w14:textId="77777777" w:rsidR="00AB0053" w:rsidRDefault="00AB0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6CC63" w14:textId="77777777" w:rsidR="00AB0053" w:rsidRDefault="00AB00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007CB" w14:textId="77777777" w:rsidR="00AB0053" w:rsidRDefault="00AB00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D3"/>
    <w:rsid w:val="000415A3"/>
    <w:rsid w:val="000755E5"/>
    <w:rsid w:val="000A3040"/>
    <w:rsid w:val="000B2A86"/>
    <w:rsid w:val="000E5D87"/>
    <w:rsid w:val="000F400D"/>
    <w:rsid w:val="001C7A22"/>
    <w:rsid w:val="001D3897"/>
    <w:rsid w:val="003243ED"/>
    <w:rsid w:val="003D0FA6"/>
    <w:rsid w:val="00506247"/>
    <w:rsid w:val="00595702"/>
    <w:rsid w:val="005A2173"/>
    <w:rsid w:val="005A6DFD"/>
    <w:rsid w:val="005F3DBE"/>
    <w:rsid w:val="007679BD"/>
    <w:rsid w:val="00785C33"/>
    <w:rsid w:val="007C14C6"/>
    <w:rsid w:val="007D67A4"/>
    <w:rsid w:val="00833805"/>
    <w:rsid w:val="00846720"/>
    <w:rsid w:val="0086679B"/>
    <w:rsid w:val="008E3628"/>
    <w:rsid w:val="00913F2A"/>
    <w:rsid w:val="009D4962"/>
    <w:rsid w:val="009E0F3B"/>
    <w:rsid w:val="009F4ABF"/>
    <w:rsid w:val="00A46094"/>
    <w:rsid w:val="00AA31C5"/>
    <w:rsid w:val="00AB0053"/>
    <w:rsid w:val="00B75DA1"/>
    <w:rsid w:val="00B91F52"/>
    <w:rsid w:val="00C105CD"/>
    <w:rsid w:val="00CB074D"/>
    <w:rsid w:val="00E02556"/>
    <w:rsid w:val="00E859D3"/>
    <w:rsid w:val="00E942C4"/>
    <w:rsid w:val="00EF4EC8"/>
    <w:rsid w:val="00F7686A"/>
    <w:rsid w:val="00F97E23"/>
    <w:rsid w:val="00FB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5D93"/>
  <w15:chartTrackingRefBased/>
  <w15:docId w15:val="{44568C8C-8C0E-4A16-98FD-9F606613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9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05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053"/>
  </w:style>
  <w:style w:type="paragraph" w:styleId="Footer">
    <w:name w:val="footer"/>
    <w:basedOn w:val="Normal"/>
    <w:link w:val="FooterChar"/>
    <w:uiPriority w:val="99"/>
    <w:unhideWhenUsed/>
    <w:rsid w:val="00AB005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A84D9-DBDA-4EA7-A59C-9142490C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Petkevičius</dc:creator>
  <cp:keywords/>
  <dc:description/>
  <cp:lastModifiedBy>Algirdas Petkevičius</cp:lastModifiedBy>
  <cp:revision>11</cp:revision>
  <dcterms:created xsi:type="dcterms:W3CDTF">2024-12-20T13:49:00Z</dcterms:created>
  <dcterms:modified xsi:type="dcterms:W3CDTF">2024-12-29T19:53:00Z</dcterms:modified>
</cp:coreProperties>
</file>