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09AB9F58" w14:textId="77777777" w:rsidR="00E8185E" w:rsidRDefault="0036662A" w:rsidP="00DD3616">
      <w:pPr>
        <w:jc w:val="center"/>
        <w:rPr>
          <w:rFonts w:ascii="Times New Roman Bold" w:hAnsi="Times New Roman Bold"/>
          <w:b/>
          <w:bCs/>
          <w:caps/>
        </w:rPr>
      </w:pPr>
      <w:r w:rsidRPr="00017566">
        <w:rPr>
          <w:b/>
          <w:bCs/>
        </w:rPr>
        <w:t xml:space="preserve">SOCIALINIŲ IR EKONOMINIŲ PARTNERIŲ </w:t>
      </w:r>
      <w:r w:rsidRPr="00E8185E">
        <w:rPr>
          <w:rFonts w:ascii="Times New Roman Bold" w:hAnsi="Times New Roman Bold"/>
          <w:b/>
          <w:bCs/>
          <w:caps/>
        </w:rPr>
        <w:t xml:space="preserve">PATEIKTŲ PASTABŲ IR PASIŪLYMŲ DĖL </w:t>
      </w:r>
      <w:r w:rsidR="00A323E0" w:rsidRPr="00E8185E">
        <w:rPr>
          <w:rFonts w:ascii="Times New Roman Bold" w:hAnsi="Times New Roman Bold"/>
          <w:b/>
          <w:bCs/>
          <w:caps/>
        </w:rPr>
        <w:t xml:space="preserve">2022–2030 METŲ EKONOMIKOS TRANSFORMACIJOS IR KONKURENCINGUMO PLĖTROS PROGRAMOS </w:t>
      </w:r>
      <w:r w:rsidR="00E8185E">
        <w:rPr>
          <w:rFonts w:ascii="Times New Roman Bold" w:hAnsi="Times New Roman Bold"/>
          <w:b/>
          <w:bCs/>
          <w:caps/>
        </w:rPr>
        <w:t xml:space="preserve">PAŽANGOS PRIEMONĖS </w:t>
      </w:r>
      <w:r w:rsidR="00E8185E" w:rsidRPr="00E8185E">
        <w:rPr>
          <w:rFonts w:ascii="Times New Roman Bold" w:hAnsi="Times New Roman Bold"/>
          <w:b/>
          <w:bCs/>
          <w:caps/>
        </w:rPr>
        <w:t>Nr. 05-001-01-11-04 „Įgyvendinti eksporto konkurencingumo augimą skatinančias priemones“ veiklų „Labai mažų, mažų ir vidutinių įmonių, įskaitant veikiančių gynybos ir saugumo pramonės sektoriuje, veiklos tarptautiškumo ir naujų eksporto rinkų identifikavimo veiklų skatinimas (Vidurio ir Vakarų Lietuvos regionas)“</w:t>
      </w:r>
      <w:r w:rsidR="00A323E0" w:rsidRPr="00E8185E">
        <w:rPr>
          <w:rFonts w:ascii="Times New Roman Bold" w:hAnsi="Times New Roman Bold"/>
          <w:b/>
          <w:bCs/>
          <w:caps/>
        </w:rPr>
        <w:t xml:space="preserve"> </w:t>
      </w:r>
      <w:r w:rsidR="00E8185E" w:rsidRPr="00E8185E">
        <w:rPr>
          <w:rFonts w:ascii="Times New Roman Bold" w:hAnsi="Times New Roman Bold"/>
          <w:b/>
          <w:bCs/>
          <w:caps/>
        </w:rPr>
        <w:t xml:space="preserve">IR „Labai mažų, mažų ir vidutinių įmonių aukštos pridėtinės vertės </w:t>
      </w:r>
      <w:bookmarkStart w:id="0" w:name="_Hlk168997733"/>
      <w:r w:rsidR="00E8185E" w:rsidRPr="00E8185E">
        <w:rPr>
          <w:rFonts w:ascii="Times New Roman Bold" w:hAnsi="Times New Roman Bold"/>
          <w:b/>
          <w:bCs/>
          <w:caps/>
        </w:rPr>
        <w:t xml:space="preserve">ir (arba) gynybos ir saugumo pramonės sektoriaus </w:t>
      </w:r>
      <w:bookmarkEnd w:id="0"/>
      <w:r w:rsidR="00E8185E" w:rsidRPr="00E8185E">
        <w:rPr>
          <w:rFonts w:ascii="Times New Roman Bold" w:hAnsi="Times New Roman Bold"/>
          <w:b/>
          <w:bCs/>
          <w:caps/>
        </w:rPr>
        <w:t xml:space="preserve">produktų ir paslaugų sertifikavimo ir pristatymo užsienio rinkose skatinimas (Sostinės regionas)“ </w:t>
      </w:r>
    </w:p>
    <w:p w14:paraId="61FE5354" w14:textId="678F909C" w:rsidR="0036662A" w:rsidRDefault="00A323E0" w:rsidP="00DD3616">
      <w:pPr>
        <w:jc w:val="center"/>
        <w:rPr>
          <w:b/>
          <w:bCs/>
          <w:caps/>
        </w:rPr>
      </w:pPr>
      <w:r w:rsidRPr="00E8185E">
        <w:rPr>
          <w:rFonts w:ascii="Times New Roman Bold" w:hAnsi="Times New Roman Bold"/>
          <w:b/>
          <w:bCs/>
          <w:caps/>
        </w:rPr>
        <w:t>PROJEKTŲ ATRANKOS</w:t>
      </w:r>
      <w:r w:rsidRPr="00FA1A39">
        <w:rPr>
          <w:b/>
          <w:bCs/>
          <w:caps/>
        </w:rPr>
        <w:t xml:space="preserve"> KRITERIJŲ DERINIMAS</w:t>
      </w:r>
    </w:p>
    <w:p w14:paraId="15324480" w14:textId="447A9587" w:rsidR="005A640D" w:rsidRDefault="005A640D" w:rsidP="00DD3616">
      <w:pPr>
        <w:jc w:val="center"/>
        <w:rPr>
          <w:b/>
          <w:bCs/>
          <w:caps/>
        </w:rPr>
      </w:pPr>
    </w:p>
    <w:p w14:paraId="33019844" w14:textId="77777777" w:rsidR="005A640D" w:rsidRPr="00B1094E" w:rsidRDefault="005A640D" w:rsidP="005A640D">
      <w:pPr>
        <w:jc w:val="both"/>
        <w:rPr>
          <w:b/>
          <w:i/>
          <w:iCs/>
          <w:szCs w:val="24"/>
        </w:rPr>
      </w:pPr>
      <w:r w:rsidRPr="00B1094E">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0E7E9D55" w:rsidR="0036662A" w:rsidRPr="00E8185E" w:rsidRDefault="00F65129" w:rsidP="00335D39">
            <w:pPr>
              <w:rPr>
                <w:szCs w:val="24"/>
                <w:lang w:val="en-US"/>
              </w:rPr>
            </w:pPr>
            <w:r w:rsidRPr="00017566">
              <w:rPr>
                <w:szCs w:val="24"/>
              </w:rPr>
              <w:t>202</w:t>
            </w:r>
            <w:r w:rsidR="00E8185E">
              <w:rPr>
                <w:szCs w:val="24"/>
                <w:lang w:val="en-US"/>
              </w:rPr>
              <w:t>5-04-10</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1" w:name="Check1"/>
            <w:r>
              <w:instrText xml:space="preserve"> FORMCHECKBOX </w:instrText>
            </w:r>
            <w:r>
              <w:fldChar w:fldCharType="separate"/>
            </w:r>
            <w:r>
              <w:fldChar w:fldCharType="end"/>
            </w:r>
            <w:bookmarkEnd w:id="1"/>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6F756260" w:rsidR="0036662A" w:rsidRPr="00017566" w:rsidRDefault="00BA08B7" w:rsidP="0070221E">
            <w:pPr>
              <w:rPr>
                <w:szCs w:val="24"/>
              </w:rPr>
            </w:pPr>
            <w:sdt>
              <w:sdtPr>
                <w:id w:val="-338542889"/>
              </w:sdtPr>
              <w:sdtEndPr/>
              <w:sdtContent>
                <w:r w:rsidR="00EF52E1">
                  <w:fldChar w:fldCharType="begin">
                    <w:ffData>
                      <w:name w:val=""/>
                      <w:enabled/>
                      <w:calcOnExit w:val="0"/>
                      <w:checkBox>
                        <w:sizeAuto/>
                        <w:default w:val="0"/>
                      </w:checkBox>
                    </w:ffData>
                  </w:fldChar>
                </w:r>
                <w:r w:rsidR="00EF52E1">
                  <w:instrText xml:space="preserve"> FORMCHECKBOX </w:instrText>
                </w:r>
                <w:r w:rsidR="00EF52E1">
                  <w:fldChar w:fldCharType="separate"/>
                </w:r>
                <w:r w:rsidR="00EF52E1">
                  <w:fldChar w:fldCharType="end"/>
                </w:r>
              </w:sdtContent>
            </w:sdt>
            <w:r w:rsidR="00015942" w:rsidRPr="00017566">
              <w:rPr>
                <w:szCs w:val="24"/>
              </w:rPr>
              <w:t xml:space="preserve"> </w:t>
            </w:r>
            <w:r w:rsidR="0036662A" w:rsidRPr="00017566">
              <w:rPr>
                <w:szCs w:val="24"/>
              </w:rPr>
              <w:t xml:space="preserve">Taip </w:t>
            </w:r>
            <w:sdt>
              <w:sdtPr>
                <w:id w:val="-1548671976"/>
              </w:sdtPr>
              <w:sdtEndPr/>
              <w:sdtContent>
                <w:sdt>
                  <w:sdtPr>
                    <w:id w:val="-1485691649"/>
                  </w:sdtPr>
                  <w:sdtEndPr/>
                  <w:sdtContent>
                    <w:r w:rsidR="00EF52E1">
                      <w:fldChar w:fldCharType="begin">
                        <w:ffData>
                          <w:name w:val=""/>
                          <w:enabled/>
                          <w:calcOnExit w:val="0"/>
                          <w:checkBox>
                            <w:sizeAuto/>
                            <w:default w:val="1"/>
                          </w:checkBox>
                        </w:ffData>
                      </w:fldChar>
                    </w:r>
                    <w:r w:rsidR="00EF52E1">
                      <w:instrText xml:space="preserve"> FORMCHECKBOX </w:instrText>
                    </w:r>
                    <w:r w:rsidR="00EF52E1">
                      <w:fldChar w:fldCharType="separate"/>
                    </w:r>
                    <w:r w:rsidR="00EF52E1">
                      <w:fldChar w:fldCharType="end"/>
                    </w:r>
                  </w:sdtContent>
                </w:sdt>
                <w:r w:rsidR="00EF52E1">
                  <w:t xml:space="preserve"> </w:t>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TableGrid"/>
        <w:tblW w:w="14062" w:type="dxa"/>
        <w:tblInd w:w="108" w:type="dxa"/>
        <w:tblLayout w:type="fixed"/>
        <w:tblLook w:val="04A0" w:firstRow="1" w:lastRow="0" w:firstColumn="1" w:lastColumn="0" w:noHBand="0" w:noVBand="1"/>
      </w:tblPr>
      <w:tblGrid>
        <w:gridCol w:w="567"/>
        <w:gridCol w:w="1560"/>
        <w:gridCol w:w="5698"/>
        <w:gridCol w:w="6237"/>
      </w:tblGrid>
      <w:tr w:rsidR="0036662A" w:rsidRPr="00C85D29" w14:paraId="6A4E2F17" w14:textId="77777777" w:rsidTr="00BA08B7">
        <w:tc>
          <w:tcPr>
            <w:tcW w:w="567" w:type="dxa"/>
          </w:tcPr>
          <w:p w14:paraId="025A5EA9" w14:textId="77777777" w:rsidR="0036662A" w:rsidRPr="00C85D29" w:rsidRDefault="0036662A" w:rsidP="00335D39">
            <w:pPr>
              <w:jc w:val="center"/>
              <w:rPr>
                <w:b/>
                <w:szCs w:val="24"/>
              </w:rPr>
            </w:pPr>
            <w:r w:rsidRPr="00C85D29">
              <w:rPr>
                <w:b/>
                <w:szCs w:val="24"/>
              </w:rPr>
              <w:t>Nr.</w:t>
            </w:r>
          </w:p>
        </w:tc>
        <w:tc>
          <w:tcPr>
            <w:tcW w:w="1560" w:type="dxa"/>
          </w:tcPr>
          <w:p w14:paraId="5FEE2DEB" w14:textId="77777777" w:rsidR="0036662A" w:rsidRPr="00C85D29" w:rsidRDefault="0036662A" w:rsidP="00335D39">
            <w:pPr>
              <w:jc w:val="center"/>
              <w:rPr>
                <w:b/>
                <w:szCs w:val="24"/>
              </w:rPr>
            </w:pPr>
            <w:r w:rsidRPr="00C85D29">
              <w:rPr>
                <w:b/>
                <w:szCs w:val="24"/>
              </w:rPr>
              <w:t>Institucija</w:t>
            </w:r>
          </w:p>
        </w:tc>
        <w:tc>
          <w:tcPr>
            <w:tcW w:w="5698" w:type="dxa"/>
          </w:tcPr>
          <w:p w14:paraId="4F6476E0" w14:textId="77777777" w:rsidR="0036662A" w:rsidRPr="00C85D29" w:rsidRDefault="0036662A" w:rsidP="00335D39">
            <w:pPr>
              <w:jc w:val="center"/>
              <w:rPr>
                <w:b/>
                <w:szCs w:val="24"/>
              </w:rPr>
            </w:pPr>
            <w:r w:rsidRPr="00C85D29">
              <w:rPr>
                <w:b/>
                <w:bCs/>
              </w:rPr>
              <w:t>Pastabos ir pasiūlymai</w:t>
            </w:r>
          </w:p>
        </w:tc>
        <w:tc>
          <w:tcPr>
            <w:tcW w:w="6237"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D36D9D" w:rsidRPr="00C85D29" w14:paraId="281D077B" w14:textId="77777777" w:rsidTr="00BA08B7">
        <w:tc>
          <w:tcPr>
            <w:tcW w:w="567" w:type="dxa"/>
          </w:tcPr>
          <w:p w14:paraId="66C96C52" w14:textId="5A535EDC" w:rsidR="00D36D9D" w:rsidRPr="00C85D29" w:rsidRDefault="00D36D9D" w:rsidP="00335D39">
            <w:pPr>
              <w:jc w:val="center"/>
              <w:rPr>
                <w:bCs/>
                <w:szCs w:val="24"/>
              </w:rPr>
            </w:pPr>
            <w:r w:rsidRPr="00C85D29">
              <w:rPr>
                <w:bCs/>
                <w:szCs w:val="24"/>
              </w:rPr>
              <w:t>1.</w:t>
            </w:r>
          </w:p>
        </w:tc>
        <w:tc>
          <w:tcPr>
            <w:tcW w:w="1560" w:type="dxa"/>
          </w:tcPr>
          <w:p w14:paraId="2EC63272" w14:textId="77777777" w:rsidR="00545CE9" w:rsidRPr="00545CE9" w:rsidRDefault="00545CE9" w:rsidP="00545CE9">
            <w:pPr>
              <w:rPr>
                <w:b/>
                <w:bCs/>
                <w:i/>
                <w:iCs/>
                <w:szCs w:val="24"/>
                <w:lang w:val="pt-BR"/>
              </w:rPr>
            </w:pPr>
            <w:r w:rsidRPr="00545CE9">
              <w:rPr>
                <w:b/>
                <w:bCs/>
                <w:i/>
                <w:iCs/>
                <w:szCs w:val="24"/>
                <w:lang w:val="pt-BR"/>
              </w:rPr>
              <w:t xml:space="preserve">Simonas Žunda </w:t>
            </w:r>
          </w:p>
          <w:p w14:paraId="3D3D4F39" w14:textId="2199FF38" w:rsidR="00545CE9" w:rsidRPr="00545CE9" w:rsidRDefault="00545CE9" w:rsidP="00545CE9">
            <w:pPr>
              <w:rPr>
                <w:b/>
                <w:bCs/>
                <w:i/>
                <w:iCs/>
                <w:szCs w:val="24"/>
                <w:lang w:val="pt-BR"/>
              </w:rPr>
            </w:pPr>
            <w:r w:rsidRPr="00545CE9">
              <w:rPr>
                <w:b/>
                <w:bCs/>
                <w:i/>
                <w:iCs/>
                <w:szCs w:val="24"/>
                <w:lang w:val="pt-BR"/>
              </w:rPr>
              <w:t>ES Investicijų konsultantas</w:t>
            </w:r>
            <w:r>
              <w:rPr>
                <w:b/>
                <w:bCs/>
                <w:i/>
                <w:iCs/>
                <w:szCs w:val="24"/>
                <w:lang w:val="pt-BR"/>
              </w:rPr>
              <w:t>, Consensus</w:t>
            </w:r>
          </w:p>
          <w:p w14:paraId="584D81CC" w14:textId="7F796279" w:rsidR="00B44CD9" w:rsidRPr="00545CE9" w:rsidRDefault="00B44CD9" w:rsidP="00CA3ADD">
            <w:pPr>
              <w:rPr>
                <w:b/>
                <w:bCs/>
                <w:szCs w:val="24"/>
                <w:lang w:val="pt-BR"/>
              </w:rPr>
            </w:pPr>
          </w:p>
        </w:tc>
        <w:tc>
          <w:tcPr>
            <w:tcW w:w="5698" w:type="dxa"/>
          </w:tcPr>
          <w:p w14:paraId="47EFCD12" w14:textId="77777777" w:rsidR="00D36D9D" w:rsidRDefault="00545CE9" w:rsidP="00545CE9">
            <w:pPr>
              <w:jc w:val="both"/>
              <w:rPr>
                <w:b/>
                <w:bCs/>
                <w:i/>
                <w:iCs/>
                <w:szCs w:val="24"/>
              </w:rPr>
            </w:pPr>
            <w:r>
              <w:rPr>
                <w:b/>
                <w:bCs/>
                <w:i/>
                <w:iCs/>
                <w:szCs w:val="24"/>
              </w:rPr>
              <w:t xml:space="preserve">Prioritetinis kriterijus Nr. </w:t>
            </w:r>
            <w:r w:rsidRPr="00545CE9">
              <w:rPr>
                <w:b/>
                <w:bCs/>
                <w:i/>
                <w:iCs/>
                <w:szCs w:val="24"/>
              </w:rPr>
              <w:t>6. pareiškėjas yra MVĮ, nukentėjusi nuo Jungtinių Amerikos Valstijų (toliau – JAV) taikomų tarifų (muitų).</w:t>
            </w:r>
          </w:p>
          <w:p w14:paraId="1FB9780D" w14:textId="77777777" w:rsidR="00545CE9" w:rsidRPr="00545CE9" w:rsidRDefault="00545CE9" w:rsidP="00545CE9">
            <w:pPr>
              <w:jc w:val="both"/>
              <w:rPr>
                <w:i/>
                <w:iCs/>
                <w:szCs w:val="24"/>
              </w:rPr>
            </w:pPr>
            <w:r w:rsidRPr="00545CE9">
              <w:rPr>
                <w:i/>
                <w:iCs/>
                <w:szCs w:val="24"/>
              </w:rPr>
              <w:t xml:space="preserve">Prioritetinis balas suteikiamas pareiškėjams, kurių  eksporto pajamų dalis į JAV sudaro ne mažiau kaip 10 proc. nuo visų įmonės pardavimų pajamų per paskutinius finansinius metus iki PĮP pateikimo. </w:t>
            </w:r>
          </w:p>
          <w:p w14:paraId="293F4A6A" w14:textId="77777777" w:rsidR="00545CE9" w:rsidRPr="00545CE9" w:rsidRDefault="00545CE9" w:rsidP="00545CE9">
            <w:pPr>
              <w:jc w:val="both"/>
              <w:rPr>
                <w:i/>
                <w:iCs/>
                <w:szCs w:val="24"/>
              </w:rPr>
            </w:pPr>
          </w:p>
          <w:p w14:paraId="3DBE42DA" w14:textId="77777777" w:rsidR="00545CE9" w:rsidRPr="00545CE9" w:rsidRDefault="00545CE9" w:rsidP="00545CE9">
            <w:pPr>
              <w:jc w:val="both"/>
              <w:rPr>
                <w:szCs w:val="24"/>
              </w:rPr>
            </w:pPr>
            <w:r w:rsidRPr="00545CE9">
              <w:rPr>
                <w:b/>
                <w:bCs/>
                <w:szCs w:val="24"/>
              </w:rPr>
              <w:lastRenderedPageBreak/>
              <w:t>Pasiūlymas.</w:t>
            </w:r>
            <w:r>
              <w:rPr>
                <w:szCs w:val="24"/>
              </w:rPr>
              <w:t xml:space="preserve"> </w:t>
            </w:r>
            <w:r w:rsidRPr="00545CE9">
              <w:rPr>
                <w:szCs w:val="24"/>
              </w:rPr>
              <w:t xml:space="preserve">Siūloma 10% eksporto pajamų dalis nuo visų įmonės pajamų reikšmė netiksliai identifikuoja įmones, nukenčiančias nuo JAV importo muitų, diskriminuoja didesnes apyvartas turinčias vidutines įmones, besiplečiančias į JAV, nes mažesnes pajamas turinčios įmonės potencialiai gaus didesnius balus nei didesnes apyvartas turinčios įmonės. Pvz. įmonė turinti 10 000 000 Eur metines pajamas, iš kurių 7 000 000 Eur pačių pagaminta produkcija, eksportuojanti į JAV prekių už 100 000 Eur kasmet, prioritetinio balo negaus, o įmonė, kurios metinės pajamos 50000 Eur, eksportas 25500 Eur, eksportas į JAV 5000 Eur, prioritetinį balą gaus. Atrodo neproporcinga. </w:t>
            </w:r>
          </w:p>
          <w:p w14:paraId="47177CB6" w14:textId="77777777" w:rsidR="00545CE9" w:rsidRPr="00545CE9" w:rsidRDefault="00545CE9" w:rsidP="00545CE9">
            <w:pPr>
              <w:jc w:val="both"/>
              <w:rPr>
                <w:szCs w:val="24"/>
              </w:rPr>
            </w:pPr>
            <w:r w:rsidRPr="00545CE9">
              <w:rPr>
                <w:szCs w:val="24"/>
              </w:rPr>
              <w:t>Siūlome:</w:t>
            </w:r>
          </w:p>
          <w:p w14:paraId="6B1831F3" w14:textId="77777777" w:rsidR="00545CE9" w:rsidRPr="00545CE9" w:rsidRDefault="00545CE9" w:rsidP="00545CE9">
            <w:pPr>
              <w:jc w:val="both"/>
              <w:rPr>
                <w:szCs w:val="24"/>
              </w:rPr>
            </w:pPr>
            <w:r w:rsidRPr="00545CE9">
              <w:rPr>
                <w:szCs w:val="24"/>
              </w:rPr>
              <w:t>1. Turi būti naudojama pačių pagamintos produkcijos/suteiktų paslaugų eksporto į JAV reikšmė.</w:t>
            </w:r>
          </w:p>
          <w:p w14:paraId="1A411D55" w14:textId="77777777" w:rsidR="00545CE9" w:rsidRPr="00545CE9" w:rsidRDefault="00545CE9" w:rsidP="00545CE9">
            <w:pPr>
              <w:jc w:val="both"/>
              <w:rPr>
                <w:szCs w:val="24"/>
              </w:rPr>
            </w:pPr>
            <w:r w:rsidRPr="00545CE9">
              <w:rPr>
                <w:szCs w:val="24"/>
              </w:rPr>
              <w:t>2. Ši reikšmė turėtų būti lyginama su pačių pagamintų prekių/suteiktų paslaugų eksporto pajamomis, bet ne bendromis įmonės pajamomis.</w:t>
            </w:r>
          </w:p>
          <w:p w14:paraId="307945A7" w14:textId="662B0E65" w:rsidR="00545CE9" w:rsidRPr="00545CE9" w:rsidRDefault="00545CE9" w:rsidP="00545CE9">
            <w:pPr>
              <w:jc w:val="both"/>
              <w:rPr>
                <w:szCs w:val="24"/>
              </w:rPr>
            </w:pPr>
            <w:r w:rsidRPr="00545CE9">
              <w:rPr>
                <w:szCs w:val="24"/>
              </w:rPr>
              <w:t>3. Manome, kad vertinant JAV muitų poveikį gali būti naudojama minimali procentinė reikšmė 1% nuo viso pačių pagamintų prekių eksporto į JAV, ir/arba derinant su minimalia skaitine reikšme, bet ne mažiau (arba daugiau kaip), nei 5000 Eur mažų ir labai mažų įmonių atveju, 14500 Eur vidutinių įmonių atve</w:t>
            </w:r>
            <w:r>
              <w:rPr>
                <w:szCs w:val="24"/>
              </w:rPr>
              <w:t>ju.</w:t>
            </w:r>
          </w:p>
        </w:tc>
        <w:tc>
          <w:tcPr>
            <w:tcW w:w="6237" w:type="dxa"/>
          </w:tcPr>
          <w:p w14:paraId="78571A21" w14:textId="77777777" w:rsidR="00191A6E" w:rsidRPr="00C27ED7" w:rsidRDefault="00C27ED7" w:rsidP="00AD6D50">
            <w:pPr>
              <w:pStyle w:val="NoSpacing"/>
              <w:tabs>
                <w:tab w:val="left" w:pos="552"/>
              </w:tabs>
              <w:jc w:val="both"/>
              <w:rPr>
                <w:rFonts w:ascii="Times New Roman" w:eastAsia="Times New Roman" w:hAnsi="Times New Roman"/>
                <w:b/>
                <w:bCs/>
                <w:sz w:val="24"/>
                <w:szCs w:val="24"/>
                <w:lang w:eastAsia="lt-LT"/>
              </w:rPr>
            </w:pPr>
            <w:r w:rsidRPr="00C27ED7">
              <w:rPr>
                <w:rFonts w:ascii="Times New Roman" w:eastAsia="Times New Roman" w:hAnsi="Times New Roman"/>
                <w:b/>
                <w:bCs/>
                <w:sz w:val="24"/>
                <w:szCs w:val="24"/>
                <w:lang w:eastAsia="lt-LT"/>
              </w:rPr>
              <w:lastRenderedPageBreak/>
              <w:t>Neatsižvelgta.</w:t>
            </w:r>
          </w:p>
          <w:p w14:paraId="255842C1" w14:textId="3C664F10" w:rsidR="00C27ED7" w:rsidRPr="00C27ED7" w:rsidRDefault="00C27ED7" w:rsidP="00C27ED7">
            <w:pPr>
              <w:pStyle w:val="NoSpacing"/>
              <w:tabs>
                <w:tab w:val="left" w:pos="552"/>
              </w:tabs>
              <w:jc w:val="both"/>
              <w:rPr>
                <w:rFonts w:ascii="Times New Roman" w:hAnsi="Times New Roman"/>
                <w:b/>
                <w:sz w:val="24"/>
                <w:szCs w:val="24"/>
              </w:rPr>
            </w:pPr>
            <w:r>
              <w:rPr>
                <w:rFonts w:ascii="Times New Roman" w:hAnsi="Times New Roman"/>
                <w:bCs/>
                <w:sz w:val="24"/>
                <w:szCs w:val="24"/>
              </w:rPr>
              <w:t xml:space="preserve">Pažymime, kad netikslu skaičiuoti </w:t>
            </w:r>
            <w:r w:rsidRPr="00C27ED7">
              <w:rPr>
                <w:rFonts w:ascii="Times New Roman" w:hAnsi="Times New Roman"/>
                <w:bCs/>
                <w:sz w:val="24"/>
                <w:szCs w:val="24"/>
              </w:rPr>
              <w:t>% nuo eksporto</w:t>
            </w:r>
            <w:r>
              <w:rPr>
                <w:rFonts w:ascii="Times New Roman" w:hAnsi="Times New Roman"/>
                <w:bCs/>
                <w:sz w:val="24"/>
                <w:szCs w:val="24"/>
              </w:rPr>
              <w:t xml:space="preserve">, </w:t>
            </w:r>
            <w:r w:rsidRPr="00C27ED7">
              <w:rPr>
                <w:rFonts w:ascii="Times New Roman" w:hAnsi="Times New Roman"/>
                <w:bCs/>
                <w:sz w:val="24"/>
                <w:szCs w:val="24"/>
              </w:rPr>
              <w:t xml:space="preserve">nes kaip </w:t>
            </w:r>
            <w:r>
              <w:rPr>
                <w:rFonts w:ascii="Times New Roman" w:hAnsi="Times New Roman"/>
                <w:bCs/>
                <w:sz w:val="24"/>
                <w:szCs w:val="24"/>
              </w:rPr>
              <w:t>Valstybinės duomenų bazės</w:t>
            </w:r>
            <w:r w:rsidRPr="00C27ED7">
              <w:rPr>
                <w:rFonts w:ascii="Times New Roman" w:hAnsi="Times New Roman"/>
                <w:bCs/>
                <w:sz w:val="24"/>
                <w:szCs w:val="24"/>
              </w:rPr>
              <w:t xml:space="preserve"> duomenys rodo, tada patenka</w:t>
            </w:r>
            <w:r>
              <w:rPr>
                <w:rFonts w:ascii="Times New Roman" w:hAnsi="Times New Roman"/>
                <w:bCs/>
                <w:sz w:val="24"/>
                <w:szCs w:val="24"/>
              </w:rPr>
              <w:t xml:space="preserve"> įmonės, kurios </w:t>
            </w:r>
            <w:r w:rsidRPr="00C27ED7">
              <w:rPr>
                <w:rFonts w:ascii="Times New Roman" w:hAnsi="Times New Roman"/>
                <w:bCs/>
                <w:sz w:val="24"/>
                <w:szCs w:val="24"/>
              </w:rPr>
              <w:t>išvežė</w:t>
            </w:r>
            <w:r>
              <w:rPr>
                <w:rFonts w:ascii="Times New Roman" w:hAnsi="Times New Roman"/>
                <w:bCs/>
                <w:sz w:val="24"/>
                <w:szCs w:val="24"/>
              </w:rPr>
              <w:t xml:space="preserve"> tik</w:t>
            </w:r>
            <w:r w:rsidRPr="00C27ED7">
              <w:rPr>
                <w:rFonts w:ascii="Times New Roman" w:hAnsi="Times New Roman"/>
                <w:bCs/>
                <w:sz w:val="24"/>
                <w:szCs w:val="24"/>
              </w:rPr>
              <w:t xml:space="preserve"> vieną prietaisą į JAV (šiaip nevykdo eksporto veiklos). </w:t>
            </w:r>
            <w:r>
              <w:rPr>
                <w:rFonts w:ascii="Times New Roman" w:hAnsi="Times New Roman"/>
                <w:bCs/>
                <w:sz w:val="24"/>
                <w:szCs w:val="24"/>
              </w:rPr>
              <w:t xml:space="preserve">Todėl tiksliau skaičiuoti </w:t>
            </w:r>
            <w:r w:rsidRPr="00C27ED7">
              <w:rPr>
                <w:rFonts w:ascii="Times New Roman" w:hAnsi="Times New Roman"/>
                <w:bCs/>
                <w:sz w:val="24"/>
                <w:szCs w:val="24"/>
              </w:rPr>
              <w:t xml:space="preserve"> </w:t>
            </w:r>
            <w:r w:rsidRPr="00545CE9">
              <w:rPr>
                <w:rFonts w:ascii="Times New Roman" w:hAnsi="Times New Roman"/>
                <w:bCs/>
                <w:sz w:val="24"/>
                <w:szCs w:val="24"/>
              </w:rPr>
              <w:t>eksporto pajamų dal</w:t>
            </w:r>
            <w:r>
              <w:rPr>
                <w:rFonts w:ascii="Times New Roman" w:hAnsi="Times New Roman"/>
                <w:bCs/>
                <w:sz w:val="24"/>
                <w:szCs w:val="24"/>
              </w:rPr>
              <w:t>į</w:t>
            </w:r>
            <w:r w:rsidRPr="00545CE9">
              <w:rPr>
                <w:rFonts w:ascii="Times New Roman" w:hAnsi="Times New Roman"/>
                <w:bCs/>
                <w:sz w:val="24"/>
                <w:szCs w:val="24"/>
              </w:rPr>
              <w:t xml:space="preserve"> į JAV nuo visų įmonės pardavimų pajamų</w:t>
            </w:r>
            <w:r w:rsidRPr="00C27ED7">
              <w:rPr>
                <w:rFonts w:ascii="Times New Roman" w:hAnsi="Times New Roman"/>
                <w:bCs/>
                <w:sz w:val="24"/>
                <w:szCs w:val="24"/>
              </w:rPr>
              <w:t>, o ne tik nuo eksporto. Įmonei didesnis neigiamas poveikis</w:t>
            </w:r>
            <w:r w:rsidR="003D4E0E">
              <w:rPr>
                <w:rFonts w:ascii="Times New Roman" w:hAnsi="Times New Roman"/>
                <w:bCs/>
                <w:sz w:val="24"/>
                <w:szCs w:val="24"/>
              </w:rPr>
              <w:t xml:space="preserve"> būna</w:t>
            </w:r>
            <w:r w:rsidRPr="00C27ED7">
              <w:rPr>
                <w:rFonts w:ascii="Times New Roman" w:hAnsi="Times New Roman"/>
                <w:bCs/>
                <w:sz w:val="24"/>
                <w:szCs w:val="24"/>
              </w:rPr>
              <w:t>, jeigu eksportas į JAV sudaro reikšmingą dalį jų pajamų, o ne jų eksporto.</w:t>
            </w:r>
            <w:r w:rsidRPr="00C27ED7">
              <w:rPr>
                <w:rFonts w:ascii="Times New Roman" w:hAnsi="Times New Roman"/>
                <w:bCs/>
                <w:sz w:val="24"/>
                <w:szCs w:val="24"/>
              </w:rPr>
              <w:br/>
            </w:r>
            <w:r w:rsidRPr="00C27ED7">
              <w:rPr>
                <w:rFonts w:ascii="Times New Roman" w:hAnsi="Times New Roman"/>
                <w:bCs/>
                <w:sz w:val="24"/>
                <w:szCs w:val="24"/>
              </w:rPr>
              <w:lastRenderedPageBreak/>
              <w:br/>
            </w:r>
            <w:r w:rsidR="003D4E0E">
              <w:rPr>
                <w:rFonts w:ascii="Times New Roman" w:hAnsi="Times New Roman"/>
                <w:bCs/>
                <w:sz w:val="24"/>
                <w:szCs w:val="24"/>
              </w:rPr>
              <w:t xml:space="preserve">Pažymime, kad </w:t>
            </w:r>
            <w:r w:rsidRPr="00C27ED7">
              <w:rPr>
                <w:rFonts w:ascii="Times New Roman" w:hAnsi="Times New Roman"/>
                <w:bCs/>
                <w:sz w:val="24"/>
                <w:szCs w:val="24"/>
              </w:rPr>
              <w:t>įmonėms</w:t>
            </w:r>
            <w:r w:rsidR="003D4E0E">
              <w:rPr>
                <w:rFonts w:ascii="Times New Roman" w:hAnsi="Times New Roman"/>
                <w:bCs/>
                <w:sz w:val="24"/>
                <w:szCs w:val="24"/>
              </w:rPr>
              <w:t>, turinčioms mažesnes pajamas,</w:t>
            </w:r>
            <w:r w:rsidRPr="00C27ED7">
              <w:rPr>
                <w:rFonts w:ascii="Times New Roman" w:hAnsi="Times New Roman"/>
                <w:bCs/>
                <w:sz w:val="24"/>
                <w:szCs w:val="24"/>
              </w:rPr>
              <w:t xml:space="preserve"> </w:t>
            </w:r>
            <w:r w:rsidR="003D4E0E">
              <w:rPr>
                <w:rFonts w:ascii="Times New Roman" w:hAnsi="Times New Roman"/>
                <w:bCs/>
                <w:sz w:val="24"/>
                <w:szCs w:val="24"/>
              </w:rPr>
              <w:t>kriterijaus vertinimas ne</w:t>
            </w:r>
            <w:r w:rsidRPr="00C27ED7">
              <w:rPr>
                <w:rFonts w:ascii="Times New Roman" w:hAnsi="Times New Roman"/>
                <w:bCs/>
                <w:sz w:val="24"/>
                <w:szCs w:val="24"/>
              </w:rPr>
              <w:t>bus palankesnis</w:t>
            </w:r>
            <w:r w:rsidR="003D4E0E">
              <w:rPr>
                <w:rFonts w:ascii="Times New Roman" w:hAnsi="Times New Roman"/>
                <w:bCs/>
                <w:sz w:val="24"/>
                <w:szCs w:val="24"/>
              </w:rPr>
              <w:t xml:space="preserve">, nes </w:t>
            </w:r>
            <w:r w:rsidRPr="00C27ED7">
              <w:rPr>
                <w:rFonts w:ascii="Times New Roman" w:hAnsi="Times New Roman"/>
                <w:bCs/>
                <w:sz w:val="24"/>
                <w:szCs w:val="24"/>
              </w:rPr>
              <w:t xml:space="preserve">įmonėms santykinis svoris (dalyje nuo jų visų pajamų) yra toks pat.  </w:t>
            </w:r>
            <w:r w:rsidRPr="00C27ED7">
              <w:rPr>
                <w:rFonts w:ascii="Times New Roman" w:hAnsi="Times New Roman"/>
                <w:bCs/>
                <w:sz w:val="24"/>
                <w:szCs w:val="24"/>
              </w:rPr>
              <w:br/>
            </w:r>
            <w:r w:rsidRPr="00C27ED7">
              <w:rPr>
                <w:rFonts w:ascii="Times New Roman" w:hAnsi="Times New Roman"/>
                <w:bCs/>
                <w:sz w:val="24"/>
                <w:szCs w:val="24"/>
              </w:rPr>
              <w:br/>
            </w:r>
            <w:r w:rsidR="003D4E0E">
              <w:rPr>
                <w:rFonts w:ascii="Times New Roman" w:hAnsi="Times New Roman"/>
                <w:bCs/>
                <w:sz w:val="24"/>
                <w:szCs w:val="24"/>
              </w:rPr>
              <w:t xml:space="preserve">Nustatyta </w:t>
            </w:r>
            <w:r w:rsidR="003D4E0E" w:rsidRPr="00C27ED7">
              <w:rPr>
                <w:rFonts w:ascii="Times New Roman" w:hAnsi="Times New Roman"/>
                <w:bCs/>
                <w:sz w:val="24"/>
                <w:szCs w:val="24"/>
              </w:rPr>
              <w:t xml:space="preserve">10 proc. </w:t>
            </w:r>
            <w:r w:rsidR="003D4E0E">
              <w:rPr>
                <w:rFonts w:ascii="Times New Roman" w:hAnsi="Times New Roman"/>
                <w:bCs/>
                <w:sz w:val="24"/>
                <w:szCs w:val="24"/>
              </w:rPr>
              <w:t xml:space="preserve">riba, nes manytina, kad </w:t>
            </w:r>
            <w:r w:rsidRPr="00C27ED7">
              <w:rPr>
                <w:rFonts w:ascii="Times New Roman" w:hAnsi="Times New Roman"/>
                <w:bCs/>
                <w:sz w:val="24"/>
                <w:szCs w:val="24"/>
              </w:rPr>
              <w:t>mažesn</w:t>
            </w:r>
            <w:r w:rsidR="003D4E0E">
              <w:rPr>
                <w:rFonts w:ascii="Times New Roman" w:hAnsi="Times New Roman"/>
                <w:bCs/>
                <w:sz w:val="24"/>
                <w:szCs w:val="24"/>
              </w:rPr>
              <w:t>ė</w:t>
            </w:r>
            <w:r w:rsidRPr="00C27ED7">
              <w:rPr>
                <w:rFonts w:ascii="Times New Roman" w:hAnsi="Times New Roman"/>
                <w:bCs/>
                <w:sz w:val="24"/>
                <w:szCs w:val="24"/>
              </w:rPr>
              <w:t xml:space="preserve"> nei 10 proc. </w:t>
            </w:r>
            <w:r w:rsidR="003D4E0E">
              <w:rPr>
                <w:rFonts w:ascii="Times New Roman" w:hAnsi="Times New Roman"/>
                <w:bCs/>
                <w:sz w:val="24"/>
                <w:szCs w:val="24"/>
              </w:rPr>
              <w:t xml:space="preserve">riba </w:t>
            </w:r>
            <w:r w:rsidRPr="00C27ED7">
              <w:rPr>
                <w:rFonts w:ascii="Times New Roman" w:hAnsi="Times New Roman"/>
                <w:bCs/>
                <w:sz w:val="24"/>
                <w:szCs w:val="24"/>
              </w:rPr>
              <w:t>reikšmingai neįtakos įmonės finansų (</w:t>
            </w:r>
            <w:r w:rsidR="003D4E0E">
              <w:rPr>
                <w:rFonts w:ascii="Times New Roman" w:hAnsi="Times New Roman"/>
                <w:bCs/>
                <w:sz w:val="24"/>
                <w:szCs w:val="24"/>
              </w:rPr>
              <w:t xml:space="preserve">pvz., </w:t>
            </w:r>
            <w:r w:rsidRPr="00C27ED7">
              <w:rPr>
                <w:rFonts w:ascii="Times New Roman" w:hAnsi="Times New Roman"/>
                <w:bCs/>
                <w:sz w:val="24"/>
                <w:szCs w:val="24"/>
              </w:rPr>
              <w:t>COVID</w:t>
            </w:r>
            <w:r w:rsidR="003D4E0E">
              <w:rPr>
                <w:rFonts w:ascii="Times New Roman" w:hAnsi="Times New Roman"/>
                <w:bCs/>
                <w:sz w:val="24"/>
                <w:szCs w:val="24"/>
              </w:rPr>
              <w:t>-</w:t>
            </w:r>
            <w:r w:rsidR="003D4E0E" w:rsidRPr="003D4E0E">
              <w:rPr>
                <w:rFonts w:ascii="Times New Roman" w:hAnsi="Times New Roman"/>
                <w:bCs/>
                <w:sz w:val="24"/>
                <w:szCs w:val="24"/>
              </w:rPr>
              <w:t>19 pandemijos metu</w:t>
            </w:r>
            <w:r w:rsidRPr="00C27ED7">
              <w:rPr>
                <w:rFonts w:ascii="Times New Roman" w:hAnsi="Times New Roman"/>
                <w:bCs/>
                <w:sz w:val="24"/>
                <w:szCs w:val="24"/>
              </w:rPr>
              <w:t xml:space="preserve"> buvo </w:t>
            </w:r>
            <w:r w:rsidR="003D4E0E">
              <w:rPr>
                <w:rFonts w:ascii="Times New Roman" w:hAnsi="Times New Roman"/>
                <w:bCs/>
                <w:sz w:val="24"/>
                <w:szCs w:val="24"/>
              </w:rPr>
              <w:t xml:space="preserve">nustatyta </w:t>
            </w:r>
            <w:r w:rsidRPr="00C27ED7">
              <w:rPr>
                <w:rFonts w:ascii="Times New Roman" w:hAnsi="Times New Roman"/>
                <w:bCs/>
                <w:sz w:val="24"/>
                <w:szCs w:val="24"/>
              </w:rPr>
              <w:t>30 proc.</w:t>
            </w:r>
            <w:r w:rsidR="003D4E0E">
              <w:rPr>
                <w:rFonts w:ascii="Times New Roman" w:hAnsi="Times New Roman"/>
                <w:bCs/>
                <w:sz w:val="24"/>
                <w:szCs w:val="24"/>
              </w:rPr>
              <w:t xml:space="preserve"> riba</w:t>
            </w:r>
            <w:r w:rsidRPr="00C27ED7">
              <w:rPr>
                <w:rFonts w:ascii="Times New Roman" w:hAnsi="Times New Roman"/>
                <w:bCs/>
                <w:sz w:val="24"/>
                <w:szCs w:val="24"/>
              </w:rPr>
              <w:t xml:space="preserve">). </w:t>
            </w:r>
            <w:r w:rsidR="003D4E0E">
              <w:rPr>
                <w:rFonts w:ascii="Times New Roman" w:hAnsi="Times New Roman"/>
                <w:bCs/>
                <w:sz w:val="24"/>
                <w:szCs w:val="24"/>
              </w:rPr>
              <w:t xml:space="preserve">Atkreipiame dėmesį, kad tai yra ne specialusis, o prioritetinis </w:t>
            </w:r>
            <w:r w:rsidRPr="00C27ED7">
              <w:rPr>
                <w:rFonts w:ascii="Times New Roman" w:hAnsi="Times New Roman"/>
                <w:bCs/>
                <w:sz w:val="24"/>
                <w:szCs w:val="24"/>
              </w:rPr>
              <w:t> </w:t>
            </w:r>
            <w:r w:rsidR="003D4E0E" w:rsidRPr="003D4E0E">
              <w:rPr>
                <w:rFonts w:ascii="Times New Roman" w:hAnsi="Times New Roman"/>
                <w:bCs/>
                <w:sz w:val="24"/>
                <w:szCs w:val="24"/>
              </w:rPr>
              <w:t>projektų atrankos kriterijus, kuris neapriboja galimybės gauti finansavimą, o tik suteikia prioritetinį balą.</w:t>
            </w:r>
          </w:p>
          <w:p w14:paraId="3771E9A4" w14:textId="7E2FB1F8" w:rsidR="00C27ED7" w:rsidRPr="00C27ED7" w:rsidRDefault="00C27ED7" w:rsidP="00AD6D50">
            <w:pPr>
              <w:pStyle w:val="NoSpacing"/>
              <w:tabs>
                <w:tab w:val="left" w:pos="552"/>
              </w:tabs>
              <w:jc w:val="both"/>
              <w:rPr>
                <w:rFonts w:ascii="Times New Roman" w:hAnsi="Times New Roman"/>
                <w:b/>
                <w:sz w:val="24"/>
                <w:szCs w:val="24"/>
              </w:rPr>
            </w:pPr>
          </w:p>
        </w:tc>
      </w:tr>
      <w:tr w:rsidR="001F7C29" w:rsidRPr="00C85D29" w14:paraId="6DB3E915" w14:textId="77777777" w:rsidTr="00BA08B7">
        <w:tc>
          <w:tcPr>
            <w:tcW w:w="567" w:type="dxa"/>
          </w:tcPr>
          <w:p w14:paraId="7BB174DB" w14:textId="1D2BF49D" w:rsidR="001F7C29" w:rsidRPr="00C85D29" w:rsidRDefault="001F7C29" w:rsidP="00335D39">
            <w:pPr>
              <w:jc w:val="center"/>
              <w:rPr>
                <w:bCs/>
                <w:szCs w:val="24"/>
              </w:rPr>
            </w:pPr>
            <w:r>
              <w:rPr>
                <w:bCs/>
                <w:szCs w:val="24"/>
              </w:rPr>
              <w:lastRenderedPageBreak/>
              <w:t>2.</w:t>
            </w:r>
          </w:p>
        </w:tc>
        <w:tc>
          <w:tcPr>
            <w:tcW w:w="1560" w:type="dxa"/>
            <w:vMerge w:val="restart"/>
          </w:tcPr>
          <w:p w14:paraId="61DCF54F" w14:textId="5B00A6B6" w:rsidR="001F7C29" w:rsidRPr="00191A6E" w:rsidRDefault="001F7C29" w:rsidP="00CA3ADD">
            <w:pPr>
              <w:rPr>
                <w:b/>
                <w:bCs/>
                <w:szCs w:val="24"/>
              </w:rPr>
            </w:pPr>
            <w:r>
              <w:rPr>
                <w:b/>
                <w:bCs/>
                <w:szCs w:val="24"/>
              </w:rPr>
              <w:t>SINTESI consulting</w:t>
            </w:r>
          </w:p>
        </w:tc>
        <w:tc>
          <w:tcPr>
            <w:tcW w:w="5698" w:type="dxa"/>
          </w:tcPr>
          <w:p w14:paraId="74BBCC5C" w14:textId="596B50FE" w:rsidR="001F7C29" w:rsidRPr="00D15917" w:rsidRDefault="001F7C29" w:rsidP="001F7C29">
            <w:pPr>
              <w:pStyle w:val="NoSpacing"/>
              <w:jc w:val="both"/>
              <w:rPr>
                <w:rFonts w:ascii="Times New Roman" w:eastAsia="Times New Roman" w:hAnsi="Times New Roman"/>
                <w:sz w:val="24"/>
                <w:szCs w:val="24"/>
              </w:rPr>
            </w:pPr>
            <w:r w:rsidRPr="001F7C29">
              <w:rPr>
                <w:rFonts w:ascii="Times New Roman" w:hAnsi="Times New Roman"/>
                <w:sz w:val="24"/>
                <w:szCs w:val="24"/>
              </w:rPr>
              <w:t xml:space="preserve">Atkreipiame dėmesį, kad atrankos kriterijuje Nr. 4 minimame </w:t>
            </w:r>
            <w:hyperlink r:id="rId11" w:history="1">
              <w:r w:rsidRPr="001F7C29">
                <w:rPr>
                  <w:rStyle w:val="Hyperlink"/>
                  <w:rFonts w:ascii="Times New Roman" w:hAnsi="Times New Roman"/>
                  <w:sz w:val="24"/>
                  <w:szCs w:val="24"/>
                </w:rPr>
                <w:t>Lietuvos Respublikos prioritetinių eksporto ir bendradarbiavimo inovacijų srityje rinkų sąraše</w:t>
              </w:r>
            </w:hyperlink>
            <w:r w:rsidRPr="001F7C29">
              <w:rPr>
                <w:rFonts w:ascii="Times New Roman" w:hAnsi="Times New Roman"/>
                <w:sz w:val="24"/>
                <w:szCs w:val="24"/>
              </w:rPr>
              <w:t xml:space="preserve"> yra nurodytos ir Jungtinės Amerikos Valstijos, taigi, atrankos kriterijai Nr. 4 ir Nr. 6 tarpusavyje prieštarauja patys sau, atsižvelgiant į tai, kad kriterijus Nr. 4 prioritetizuoja tas Lietuvos bendroves, kurios ketina dalyvauti parodose ar sertifikuoti savo produkciją Jungtinėse Amerikos </w:t>
            </w:r>
            <w:r w:rsidRPr="001F7C29">
              <w:rPr>
                <w:rFonts w:ascii="Times New Roman" w:hAnsi="Times New Roman"/>
                <w:sz w:val="24"/>
                <w:szCs w:val="24"/>
              </w:rPr>
              <w:lastRenderedPageBreak/>
              <w:t>Valstijose, tačiau dabartiniame geopolitiniame kontekste galimybė sertifikuoti produktus JAV yra smarkiai sumažėjusi, todėl tokio kriterijaus išlaikymas atrodo nelogiškas ir prieštaraujantis kriterijui Nr. 6, kuris prioritetizuoja nuo JAV taikomų tarifų (muitų) nukentėjusias Lietuvos bendroves.</w:t>
            </w:r>
          </w:p>
        </w:tc>
        <w:tc>
          <w:tcPr>
            <w:tcW w:w="6237" w:type="dxa"/>
          </w:tcPr>
          <w:p w14:paraId="09617B3D" w14:textId="77777777" w:rsidR="001F7C29" w:rsidRPr="00485479" w:rsidRDefault="001F7C29" w:rsidP="001F7C29">
            <w:pPr>
              <w:jc w:val="both"/>
              <w:rPr>
                <w:b/>
                <w:bCs/>
              </w:rPr>
            </w:pPr>
            <w:r w:rsidRPr="00485479">
              <w:rPr>
                <w:b/>
                <w:bCs/>
              </w:rPr>
              <w:lastRenderedPageBreak/>
              <w:t>Neatsižvelgta, paaiškinta.</w:t>
            </w:r>
          </w:p>
          <w:p w14:paraId="31B1AD88" w14:textId="41F17D44" w:rsidR="00E9224C" w:rsidRPr="00E9224C" w:rsidRDefault="00E9224C" w:rsidP="00E9224C">
            <w:pPr>
              <w:jc w:val="both"/>
            </w:pPr>
            <w:r>
              <w:t xml:space="preserve">Šis kriterijus nustatytas, siekiant </w:t>
            </w:r>
            <w:r w:rsidR="001F7C29" w:rsidRPr="001F7C29">
              <w:t xml:space="preserve"> paskatinti pareiškėjus, kurie planuoja sertifikuoti savo pagamintą produkciją, kurią eksportuoja arba ketina eksportuoti, bei dalyvavimą tarptautinėse parodose, kurios vyks Lietuvos Respublikos prioritetinėse eksporto ir bendradarbiavimo inovacijų srityje rinkose</w:t>
            </w:r>
            <w:r>
              <w:t xml:space="preserve">, įskaitant ir </w:t>
            </w:r>
            <w:r w:rsidRPr="00E9224C">
              <w:t>Jungtin</w:t>
            </w:r>
            <w:r>
              <w:t>es</w:t>
            </w:r>
            <w:r w:rsidRPr="00E9224C">
              <w:t xml:space="preserve"> Amerikos Valstij</w:t>
            </w:r>
            <w:r>
              <w:t>as</w:t>
            </w:r>
            <w:r w:rsidRPr="00E9224C">
              <w:t xml:space="preserve"> (toliau – JAV)</w:t>
            </w:r>
            <w:r w:rsidR="001F7C29" w:rsidRPr="001F7C29">
              <w:t xml:space="preserve">. </w:t>
            </w:r>
            <w:r>
              <w:t xml:space="preserve">Norime paskatinti jau eksportuojančias arba ketinančias </w:t>
            </w:r>
            <w:r>
              <w:lastRenderedPageBreak/>
              <w:t xml:space="preserve">eksportuoti įmones į JAV rinką, nes JAV rinka yra svarbi Lietuvos verslo eksporto </w:t>
            </w:r>
            <w:r w:rsidRPr="00E9224C">
              <w:t>galimybėms ir eksporto tendencijoms.</w:t>
            </w:r>
            <w:r>
              <w:t xml:space="preserve"> </w:t>
            </w:r>
            <w:r w:rsidRPr="00E9224C">
              <w:t>Ministerijos duomenimis, į JAV iš Lietuvos eksportuoja 1041 įmonė, daugiausiai aukštos pridėtinės vertės produktų, naftos gaminių ir baldų gamintojai, mineralų eksportuotojai. Tiesioginis Lietuvos eksportas į JAV sudaro apie 6,8 proc. viso lietuviškos kilmės prekių eksporto ir 2024 m. siekė 1,6 mlrd. eurų.</w:t>
            </w:r>
          </w:p>
          <w:p w14:paraId="651A186A" w14:textId="085B1992" w:rsidR="00E9224C" w:rsidRPr="00E9224C" w:rsidRDefault="00E9224C" w:rsidP="001F7C29">
            <w:pPr>
              <w:jc w:val="both"/>
            </w:pPr>
          </w:p>
          <w:p w14:paraId="3A010D0A" w14:textId="0DF466FC" w:rsidR="001F7C29" w:rsidRPr="001F7C29" w:rsidRDefault="00E9224C" w:rsidP="001F7C29">
            <w:pPr>
              <w:jc w:val="both"/>
            </w:pPr>
            <w:r>
              <w:t xml:space="preserve">Todėl taip pat suteikiamas prioritetinis balas </w:t>
            </w:r>
            <w:r w:rsidR="00B53DCE">
              <w:t xml:space="preserve">įmonėms, nukentėjusioms nuo </w:t>
            </w:r>
            <w:r w:rsidR="00B53DCE" w:rsidRPr="00B53DCE">
              <w:t>JAV taikomų tarifų (muitų).</w:t>
            </w:r>
          </w:p>
          <w:p w14:paraId="639BDE81" w14:textId="1DD8CECE" w:rsidR="001F7C29" w:rsidRPr="00E9224C" w:rsidRDefault="001F7C29" w:rsidP="004619C0">
            <w:pPr>
              <w:jc w:val="both"/>
            </w:pPr>
          </w:p>
        </w:tc>
      </w:tr>
      <w:tr w:rsidR="001F7C29" w:rsidRPr="001F7C29" w14:paraId="5F21441B" w14:textId="77777777" w:rsidTr="00BA08B7">
        <w:tc>
          <w:tcPr>
            <w:tcW w:w="567" w:type="dxa"/>
          </w:tcPr>
          <w:p w14:paraId="4FD05CEE" w14:textId="736D4F5D" w:rsidR="001F7C29" w:rsidRPr="001F7C29" w:rsidRDefault="001F7C29" w:rsidP="00335D39">
            <w:pPr>
              <w:jc w:val="center"/>
              <w:rPr>
                <w:rFonts w:eastAsia="Calibri"/>
                <w:szCs w:val="24"/>
                <w:lang w:eastAsia="en-US"/>
              </w:rPr>
            </w:pPr>
            <w:r w:rsidRPr="001F7C29">
              <w:rPr>
                <w:rFonts w:eastAsia="Calibri"/>
                <w:szCs w:val="24"/>
                <w:lang w:eastAsia="en-US"/>
              </w:rPr>
              <w:lastRenderedPageBreak/>
              <w:t>3.</w:t>
            </w:r>
          </w:p>
        </w:tc>
        <w:tc>
          <w:tcPr>
            <w:tcW w:w="1560" w:type="dxa"/>
            <w:vMerge/>
          </w:tcPr>
          <w:p w14:paraId="0789F5D9" w14:textId="77777777" w:rsidR="001F7C29" w:rsidRPr="001F7C29" w:rsidRDefault="001F7C29" w:rsidP="00CA3ADD">
            <w:pPr>
              <w:rPr>
                <w:rFonts w:eastAsia="Calibri"/>
                <w:szCs w:val="24"/>
                <w:lang w:eastAsia="en-US"/>
              </w:rPr>
            </w:pPr>
          </w:p>
        </w:tc>
        <w:tc>
          <w:tcPr>
            <w:tcW w:w="5698" w:type="dxa"/>
          </w:tcPr>
          <w:p w14:paraId="52A94213" w14:textId="20FF1517" w:rsidR="001F7C29" w:rsidRPr="001F7C29" w:rsidRDefault="001F7C29" w:rsidP="001F7C29">
            <w:pPr>
              <w:pStyle w:val="NoSpacing"/>
              <w:jc w:val="both"/>
              <w:rPr>
                <w:rFonts w:ascii="Times New Roman" w:hAnsi="Times New Roman"/>
                <w:sz w:val="24"/>
                <w:szCs w:val="24"/>
              </w:rPr>
            </w:pPr>
            <w:r w:rsidRPr="001F7C29">
              <w:rPr>
                <w:rFonts w:ascii="Times New Roman" w:hAnsi="Times New Roman"/>
                <w:sz w:val="24"/>
                <w:szCs w:val="24"/>
              </w:rPr>
              <w:t>Atsižvelgiant į pastarojo meto geopolitinius neapibrėžtumus, kurie daro tiesioginę įtaką eksporto plėtrai, pvz.: tais atvejais kai viena ar kita eksporto rinka neplanuotai užsidaro, siūlome neskirti didžiausio vertinimo balo prognostiniam atrankos kriterijui Nr. 2, vietoj to labiau prioritetizuojant tuos atrankos kriterijus, kurie išskiria pareiškėjus pagal jų esamus veiklos rezultatus (pvz.: didžiausią vertinimo balą skiriant tiems pareiškėjams, kurių pardavimo/eksporto pajamos yra mažesnės arba tiems, kurie iki projekto veiklų įgyvendinimo pradžios eksporto veiklų nevykdė išvis), atsižvelgiant į tai, kad didžiausią svertinį koeficientą šiuo metu turintis kriterijus Nr. 2 remiasi prognostiniais rodikliais, kurie nebūtinai gali atnešti realią naudą projekto efektyvumui (pvz.: tuo atveju, jeigu pareiškėjui dėl force majeure atvejų nepavyktų pasiekti nusimatytų eksporto verčių augimo pilna apimtimi).</w:t>
            </w:r>
          </w:p>
        </w:tc>
        <w:tc>
          <w:tcPr>
            <w:tcW w:w="6237" w:type="dxa"/>
          </w:tcPr>
          <w:p w14:paraId="08A70803" w14:textId="77777777" w:rsidR="00485479" w:rsidRPr="00485479" w:rsidRDefault="00485479" w:rsidP="00485479">
            <w:pPr>
              <w:jc w:val="both"/>
              <w:rPr>
                <w:b/>
                <w:bCs/>
              </w:rPr>
            </w:pPr>
            <w:r w:rsidRPr="00485479">
              <w:rPr>
                <w:b/>
                <w:bCs/>
              </w:rPr>
              <w:t>Neatsižvelgta, paaiškinta.</w:t>
            </w:r>
          </w:p>
          <w:p w14:paraId="06D69C7C" w14:textId="77777777" w:rsidR="001F7C29" w:rsidRDefault="00485479" w:rsidP="00990EB8">
            <w:pPr>
              <w:jc w:val="both"/>
              <w:rPr>
                <w:rFonts w:eastAsia="Calibri"/>
                <w:szCs w:val="24"/>
                <w:lang w:eastAsia="en-US"/>
              </w:rPr>
            </w:pPr>
            <w:r>
              <w:rPr>
                <w:rFonts w:eastAsia="Calibri"/>
                <w:szCs w:val="24"/>
                <w:lang w:eastAsia="en-US"/>
              </w:rPr>
              <w:t xml:space="preserve">Šios priemonės tikslas – paskatinti </w:t>
            </w:r>
            <w:r w:rsidRPr="00485479">
              <w:rPr>
                <w:rFonts w:eastAsia="Calibri"/>
                <w:szCs w:val="24"/>
                <w:lang w:eastAsia="en-US"/>
              </w:rPr>
              <w:t>įmonių pačių pagamintos lietuviškos kilmės produkcijos eksporto augimą</w:t>
            </w:r>
            <w:r>
              <w:rPr>
                <w:rFonts w:eastAsia="Calibri"/>
                <w:szCs w:val="24"/>
                <w:lang w:eastAsia="en-US"/>
              </w:rPr>
              <w:t xml:space="preserve">. Todėl nustatytas toks prioritetinis kriterijus, kuris padės </w:t>
            </w:r>
            <w:r w:rsidRPr="00485479">
              <w:rPr>
                <w:rFonts w:eastAsia="Calibri"/>
                <w:szCs w:val="24"/>
                <w:lang w:eastAsia="en-US"/>
              </w:rPr>
              <w:t>išskirti efektyviausiai Europos Sąjungos fondų lėšas naudosiančias įmones, kurių eksporto augimas bus didžiausias.</w:t>
            </w:r>
          </w:p>
          <w:p w14:paraId="02C25C8F" w14:textId="4FC4E140" w:rsidR="00BA08B7" w:rsidRPr="00BA08B7" w:rsidRDefault="00BA08B7" w:rsidP="00BA08B7">
            <w:pPr>
              <w:jc w:val="both"/>
            </w:pPr>
            <w:r>
              <w:t>Informuojame,</w:t>
            </w:r>
            <w:r>
              <w:t xml:space="preserve"> kad projekto vykdytojui nepasiekus suplanuotų stebėsenos rodiklių reikšmių taikomi </w:t>
            </w:r>
            <w:r>
              <w:rPr>
                <w:rFonts w:eastAsia="Calibri"/>
                <w:szCs w:val="24"/>
                <w:lang w:eastAsia="en-US"/>
              </w:rPr>
              <w:t>Projektų administravimo ir finansavimo taisyklių</w:t>
            </w:r>
            <w:r>
              <w:rPr>
                <w:rStyle w:val="FootnoteReference"/>
                <w:rFonts w:eastAsia="Calibri"/>
                <w:szCs w:val="24"/>
                <w:lang w:eastAsia="en-US"/>
              </w:rPr>
              <w:footnoteReference w:id="1"/>
            </w:r>
            <w:r>
              <w:rPr>
                <w:rFonts w:eastAsia="Calibri"/>
                <w:szCs w:val="24"/>
                <w:lang w:eastAsia="en-US"/>
              </w:rPr>
              <w:t xml:space="preserve"> </w:t>
            </w:r>
            <w:r>
              <w:rPr>
                <w:rFonts w:eastAsia="Calibri"/>
                <w:szCs w:val="24"/>
                <w:lang w:eastAsia="en-US"/>
              </w:rPr>
              <w:t xml:space="preserve"> </w:t>
            </w:r>
            <w:r w:rsidRPr="00BA08B7">
              <w:rPr>
                <w:rFonts w:eastAsia="Calibri"/>
                <w:szCs w:val="24"/>
                <w:lang w:eastAsia="en-US"/>
              </w:rPr>
              <w:t>1</w:t>
            </w:r>
            <w:r>
              <w:rPr>
                <w:rFonts w:eastAsia="Calibri"/>
                <w:szCs w:val="24"/>
                <w:lang w:eastAsia="en-US"/>
              </w:rPr>
              <w:t xml:space="preserve">71 p. ir </w:t>
            </w:r>
            <w:r>
              <w:rPr>
                <w:szCs w:val="24"/>
              </w:rPr>
              <w:t>48</w:t>
            </w:r>
            <w:r>
              <w:rPr>
                <w:szCs w:val="24"/>
                <w:vertAlign w:val="superscript"/>
              </w:rPr>
              <w:t>1</w:t>
            </w:r>
            <w:r>
              <w:rPr>
                <w:szCs w:val="24"/>
              </w:rPr>
              <w:t xml:space="preserve"> punkt</w:t>
            </w:r>
            <w:r>
              <w:rPr>
                <w:szCs w:val="24"/>
              </w:rPr>
              <w:t>ų reikalavimai:</w:t>
            </w:r>
          </w:p>
          <w:p w14:paraId="756592F7" w14:textId="77777777" w:rsidR="00BA08B7" w:rsidRDefault="00BA08B7" w:rsidP="00BA08B7">
            <w:pPr>
              <w:tabs>
                <w:tab w:val="left" w:pos="0"/>
                <w:tab w:val="left" w:pos="1134"/>
                <w:tab w:val="left" w:pos="1418"/>
                <w:tab w:val="left" w:pos="1843"/>
              </w:tabs>
              <w:ind w:firstLine="601"/>
              <w:jc w:val="both"/>
            </w:pPr>
            <w:r>
              <w:rPr>
                <w:szCs w:val="24"/>
              </w:rPr>
              <w:t xml:space="preserve">171. </w:t>
            </w:r>
            <w:r>
              <w:rPr>
                <w:color w:val="000000"/>
                <w:szCs w:val="24"/>
              </w:rPr>
              <w:t xml:space="preserve">Jeigu stebėsenos rodiklių aprašymo kortelėse nurodytu pasiekimo momentu projekto vykdytojas yra nepasiekęs projekto sutartyje nustatytų stebėsenos rodiklių reikšmių, administruojančioji institucija, įvertinusi stebėsenos rodiklių reikšmių nepasiekimo priežastis ir projektui skirto finansavimo pagrįstumą, vadovaudamasi Taisyklių 172–178 punktuose nurodytais principais, suderinusi su atsakinga ministerija, sumažina projekto sutartyje nustatytą projektui skirtą finansavimą (nekeisdama projekto tinkamų finansuoti išlaidų dydžio, t. y. atitinkama suma didinamas projekto </w:t>
            </w:r>
            <w:r>
              <w:rPr>
                <w:color w:val="000000"/>
                <w:szCs w:val="24"/>
              </w:rPr>
              <w:lastRenderedPageBreak/>
              <w:t xml:space="preserve">vykdytojo nuosavo įnašo dydis). Jei nėra numatyto projekto vykdytojo nuosavo indėlio projektui įgyvendinti, vadovaudamasi Taisyklių 172–178 punktuose nurodytais principais, administruojančioji institucija, suderinusi su atsakinga ministerija, sumažina projekto sutartyje nustatytą projektui skirtą finansavimą. Jeigu administruojančioji institucija nustato, kad nepasiekus stebėsenos rodiklių reikšmių taip pat nėra pasiektas projekto tikslas ir (arba) įgyvendinus projektą nepasiekta stebėsenos rodiklio reikšmė, kuri susieta su projektų atrankos kriterijumi, susietu su ateities rezultatais (poprojektiniu laikotarpiu), </w:t>
            </w:r>
            <w:r>
              <w:rPr>
                <w:szCs w:val="24"/>
              </w:rPr>
              <w:t>ir dėl to nebūtų skirtas finansavimas, išskyrus Taisyklių 48</w:t>
            </w:r>
            <w:r>
              <w:rPr>
                <w:szCs w:val="24"/>
                <w:vertAlign w:val="superscript"/>
              </w:rPr>
              <w:t>1</w:t>
            </w:r>
            <w:r>
              <w:rPr>
                <w:szCs w:val="24"/>
              </w:rPr>
              <w:t xml:space="preserve"> punkte nustatytus atvejus</w:t>
            </w:r>
            <w:r>
              <w:rPr>
                <w:color w:val="000000"/>
                <w:szCs w:val="24"/>
              </w:rPr>
              <w:t>, vadovaudamasi Taisyklių 116 punktu, ji inicijuoja projekto sutarties nutraukimą ir išmokėtų lėšų susigrąžinimą.</w:t>
            </w:r>
            <w:r>
              <w:t xml:space="preserve"> </w:t>
            </w:r>
          </w:p>
          <w:p w14:paraId="57F502E7" w14:textId="77777777" w:rsidR="00BA08B7" w:rsidRDefault="00BA08B7" w:rsidP="00BA08B7">
            <w:pPr>
              <w:tabs>
                <w:tab w:val="left" w:pos="0"/>
                <w:tab w:val="left" w:pos="1134"/>
                <w:tab w:val="left" w:pos="1418"/>
                <w:tab w:val="left" w:pos="1843"/>
              </w:tabs>
              <w:ind w:firstLine="709"/>
              <w:jc w:val="both"/>
            </w:pPr>
            <w:r>
              <w:rPr>
                <w:szCs w:val="24"/>
              </w:rPr>
              <w:t>48</w:t>
            </w:r>
            <w:r>
              <w:rPr>
                <w:szCs w:val="24"/>
                <w:vertAlign w:val="superscript"/>
              </w:rPr>
              <w:t>1</w:t>
            </w:r>
            <w:r>
              <w:rPr>
                <w:szCs w:val="24"/>
              </w:rPr>
              <w:t>.</w:t>
            </w:r>
            <w:r>
              <w:rPr>
                <w:szCs w:val="24"/>
                <w:vertAlign w:val="superscript"/>
              </w:rPr>
              <w:t xml:space="preserve"> </w:t>
            </w:r>
            <w:r>
              <w:rPr>
                <w:szCs w:val="24"/>
              </w:rPr>
              <w:t>Kai projektų finansavimo sąlygų apraše nustatomi projektų atrankos kriterijai, susieti su ateities rezultatais (poprojektiniu laikotarpiu), kurie susieti su stebėsenos rodiklių siektina reikšme, projektas tokius atrankos kriterijus turi atitikti ir poprojektiniu laikotarpiu. Projekto vykdytojui nepasiekus su stebėsenos rodikliu susieto projektų atrankos kriterijaus reikšmės</w:t>
            </w:r>
            <w:r>
              <w:t xml:space="preserve"> (</w:t>
            </w:r>
            <w:r>
              <w:rPr>
                <w:szCs w:val="24"/>
              </w:rPr>
              <w:t>išskyrus atvejus, kai ministerija projektų finansavimo sąlygų apraše nustato kitaip, jeigu įgyvendinant projektus atliekami taikomieji moksliniai tyrimai ir (arba) eksperimentinė plėtra, kaip jie apibrėžti Lietuvos Respublikos mokslo ir studijų įstatyme, ir (arba) tokio stebėsenos rodiklio reikšmė nepasiekiama dėl nenugalimos jėgos (</w:t>
            </w:r>
            <w:r>
              <w:rPr>
                <w:i/>
                <w:szCs w:val="24"/>
              </w:rPr>
              <w:t>force majeure</w:t>
            </w:r>
            <w:r>
              <w:rPr>
                <w:szCs w:val="24"/>
              </w:rPr>
              <w:t>) aplinkybių, kaip jos apibrėžtos Lietuvos Respublikos civilinio kodekso 6.212 straipsnyje), administruojančioji institucija atlieka Taisyklių 171 punkte nurodytus veiksmus.</w:t>
            </w:r>
            <w:r>
              <w:rPr>
                <w:b/>
                <w:bCs/>
                <w:color w:val="000000"/>
                <w:szCs w:val="24"/>
              </w:rPr>
              <w:t xml:space="preserve"> </w:t>
            </w:r>
          </w:p>
          <w:p w14:paraId="5BF71E71" w14:textId="77777777" w:rsidR="00BA08B7" w:rsidRDefault="00BA08B7" w:rsidP="00BA08B7">
            <w:pPr>
              <w:tabs>
                <w:tab w:val="left" w:pos="0"/>
                <w:tab w:val="left" w:pos="1134"/>
                <w:tab w:val="left" w:pos="1418"/>
                <w:tab w:val="left" w:pos="1843"/>
              </w:tabs>
              <w:jc w:val="both"/>
              <w:rPr>
                <w:szCs w:val="24"/>
              </w:rPr>
            </w:pPr>
          </w:p>
          <w:p w14:paraId="2662255F" w14:textId="4FAAB32F" w:rsidR="00CA56B8" w:rsidRPr="00CA56B8" w:rsidRDefault="00BA08B7" w:rsidP="00CA56B8">
            <w:pPr>
              <w:jc w:val="both"/>
              <w:rPr>
                <w:rFonts w:eastAsia="Calibri"/>
                <w:szCs w:val="24"/>
                <w:lang w:eastAsia="en-US"/>
              </w:rPr>
            </w:pPr>
            <w:r>
              <w:rPr>
                <w:rFonts w:eastAsia="Calibri"/>
                <w:szCs w:val="24"/>
                <w:lang w:eastAsia="en-US"/>
              </w:rPr>
              <w:t>Taip pat</w:t>
            </w:r>
            <w:r w:rsidR="00CA56B8">
              <w:rPr>
                <w:rFonts w:eastAsia="Calibri"/>
                <w:szCs w:val="24"/>
                <w:lang w:eastAsia="en-US"/>
              </w:rPr>
              <w:t xml:space="preserve"> Projektų administravimo ir finansavimo taisyklių </w:t>
            </w:r>
            <w:r w:rsidR="00CA56B8" w:rsidRPr="00CA56B8">
              <w:rPr>
                <w:rFonts w:eastAsia="Calibri"/>
                <w:szCs w:val="24"/>
                <w:lang w:eastAsia="en-US"/>
              </w:rPr>
              <w:t xml:space="preserve">178 p. </w:t>
            </w:r>
            <w:r w:rsidR="00CA56B8">
              <w:rPr>
                <w:rFonts w:eastAsia="Calibri"/>
                <w:szCs w:val="24"/>
                <w:lang w:eastAsia="en-US"/>
              </w:rPr>
              <w:t>numato, kad p</w:t>
            </w:r>
            <w:r w:rsidR="00CA56B8">
              <w:rPr>
                <w:color w:val="000000"/>
                <w:szCs w:val="24"/>
                <w:shd w:val="clear" w:color="auto" w:fill="FFFFFF"/>
              </w:rPr>
              <w:t xml:space="preserve">rojektui skirtas finansavimas </w:t>
            </w:r>
            <w:r w:rsidR="00CA56B8" w:rsidRPr="00CA56B8">
              <w:rPr>
                <w:b/>
                <w:bCs/>
                <w:color w:val="000000"/>
                <w:szCs w:val="24"/>
                <w:shd w:val="clear" w:color="auto" w:fill="FFFFFF"/>
              </w:rPr>
              <w:t>negali būti mažinamas</w:t>
            </w:r>
            <w:r w:rsidR="00CA56B8">
              <w:rPr>
                <w:color w:val="000000"/>
                <w:szCs w:val="24"/>
                <w:shd w:val="clear" w:color="auto" w:fill="FFFFFF"/>
              </w:rPr>
              <w:t>, jei tenkinama bent viena iš šių sąlygų:</w:t>
            </w:r>
          </w:p>
          <w:p w14:paraId="1E407538" w14:textId="77777777" w:rsidR="00CA56B8" w:rsidRDefault="00CA56B8" w:rsidP="00CA56B8">
            <w:pPr>
              <w:tabs>
                <w:tab w:val="left" w:pos="426"/>
                <w:tab w:val="left" w:pos="709"/>
                <w:tab w:val="left" w:pos="851"/>
                <w:tab w:val="left" w:pos="1418"/>
                <w:tab w:val="left" w:pos="1701"/>
              </w:tabs>
              <w:jc w:val="both"/>
              <w:rPr>
                <w:color w:val="000000"/>
                <w:szCs w:val="24"/>
                <w:shd w:val="clear" w:color="auto" w:fill="FFFFFF"/>
              </w:rPr>
            </w:pPr>
            <w:r>
              <w:rPr>
                <w:color w:val="000000"/>
                <w:szCs w:val="24"/>
              </w:rPr>
              <w:lastRenderedPageBreak/>
              <w:t>178.1.</w:t>
            </w:r>
            <w:r>
              <w:rPr>
                <w:color w:val="000000"/>
                <w:szCs w:val="24"/>
              </w:rPr>
              <w:tab/>
            </w:r>
            <w:r>
              <w:rPr>
                <w:color w:val="000000"/>
                <w:szCs w:val="24"/>
                <w:shd w:val="clear" w:color="auto" w:fill="FFFFFF"/>
              </w:rPr>
              <w:t>stebėsenos rodiklio reikšmė nepasiekta dėl konkrečios projekto veiklos vykdymo mažesne apimtimi, tačiau projekto vykdytojas pagrindžia siekiant šio stebėsenos rodiklio reikšmės patirtas projekto išlaidas;</w:t>
            </w:r>
          </w:p>
          <w:p w14:paraId="29DDB8AA" w14:textId="4F3AE956" w:rsidR="00CA56B8" w:rsidRDefault="00CA56B8" w:rsidP="00CA56B8">
            <w:pPr>
              <w:jc w:val="both"/>
            </w:pPr>
            <w:r>
              <w:rPr>
                <w:szCs w:val="24"/>
              </w:rPr>
              <w:t>178.2. projekto veiklos įvykdytos projekto sutartyje nustatyta apimtimi, o stebėsenos rodiklio reikšmė nepasiekta dėl veiksnių, kurių įtakos stebėsenos rodiklio reikšmių nepasiekimui projekto vykdytojas negalėjo sumažinti, ir projekto vykdytojas kartu su galutine veiklos ataskaita arba ataskaita po projekto finansavimo pabaigos pateikia pagrįstus paaiškinimus, kodėl nepasiekė stebėsenos rodiklio reikšmės.</w:t>
            </w:r>
            <w:r>
              <w:t xml:space="preserve"> </w:t>
            </w:r>
          </w:p>
          <w:p w14:paraId="4258AE3D" w14:textId="542416FF" w:rsidR="00CA56B8" w:rsidRPr="00CA56B8" w:rsidRDefault="00CA56B8" w:rsidP="00BA08B7">
            <w:pPr>
              <w:jc w:val="both"/>
              <w:rPr>
                <w:rFonts w:eastAsia="Calibri"/>
                <w:szCs w:val="24"/>
                <w:lang w:eastAsia="en-US"/>
              </w:rPr>
            </w:pPr>
          </w:p>
        </w:tc>
      </w:tr>
    </w:tbl>
    <w:p w14:paraId="00AABEA2" w14:textId="77777777" w:rsidR="005C5ECB" w:rsidRPr="001F7C29" w:rsidRDefault="005C5ECB">
      <w:pPr>
        <w:rPr>
          <w:rFonts w:eastAsia="Calibri"/>
          <w:szCs w:val="24"/>
          <w:lang w:eastAsia="en-US"/>
        </w:rPr>
      </w:pPr>
    </w:p>
    <w:sectPr w:rsidR="005C5ECB" w:rsidRPr="001F7C29" w:rsidSect="003940F3">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F386" w14:textId="77777777" w:rsidR="001F4D9A" w:rsidRDefault="001F4D9A" w:rsidP="003940F3">
      <w:r>
        <w:separator/>
      </w:r>
    </w:p>
  </w:endnote>
  <w:endnote w:type="continuationSeparator" w:id="0">
    <w:p w14:paraId="166FD34D" w14:textId="77777777" w:rsidR="001F4D9A" w:rsidRDefault="001F4D9A" w:rsidP="0039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1228" w14:textId="77777777" w:rsidR="003940F3" w:rsidRDefault="00394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9DD6" w14:textId="77777777" w:rsidR="003940F3" w:rsidRDefault="00394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B377" w14:textId="77777777" w:rsidR="003940F3" w:rsidRDefault="0039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FD09" w14:textId="77777777" w:rsidR="001F4D9A" w:rsidRDefault="001F4D9A" w:rsidP="003940F3">
      <w:r>
        <w:separator/>
      </w:r>
    </w:p>
  </w:footnote>
  <w:footnote w:type="continuationSeparator" w:id="0">
    <w:p w14:paraId="22273E63" w14:textId="77777777" w:rsidR="001F4D9A" w:rsidRDefault="001F4D9A" w:rsidP="003940F3">
      <w:r>
        <w:continuationSeparator/>
      </w:r>
    </w:p>
  </w:footnote>
  <w:footnote w:id="1">
    <w:p w14:paraId="4F02410C" w14:textId="77777777" w:rsidR="00BA08B7" w:rsidRDefault="00BA08B7" w:rsidP="00BA08B7">
      <w:pPr>
        <w:pStyle w:val="FootnoteText"/>
      </w:pPr>
      <w:r>
        <w:rPr>
          <w:rStyle w:val="FootnoteReference"/>
        </w:rPr>
        <w:footnoteRef/>
      </w:r>
      <w:r>
        <w:t xml:space="preserve"> </w:t>
      </w:r>
      <w:r w:rsidRPr="00842CF3">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r>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A5EB" w14:textId="77777777" w:rsidR="003940F3" w:rsidRDefault="00394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48512"/>
      <w:docPartObj>
        <w:docPartGallery w:val="Page Numbers (Top of Page)"/>
        <w:docPartUnique/>
      </w:docPartObj>
    </w:sdtPr>
    <w:sdtEndPr/>
    <w:sdtContent>
      <w:p w14:paraId="79AEDFE0" w14:textId="6B5879F1" w:rsidR="003940F3" w:rsidRDefault="003940F3">
        <w:pPr>
          <w:pStyle w:val="Header"/>
          <w:jc w:val="center"/>
        </w:pPr>
        <w:r>
          <w:fldChar w:fldCharType="begin"/>
        </w:r>
        <w:r>
          <w:instrText>PAGE   \* MERGEFORMAT</w:instrText>
        </w:r>
        <w:r>
          <w:fldChar w:fldCharType="separate"/>
        </w:r>
        <w:r>
          <w:t>2</w:t>
        </w:r>
        <w:r>
          <w:fldChar w:fldCharType="end"/>
        </w:r>
      </w:p>
    </w:sdtContent>
  </w:sdt>
  <w:p w14:paraId="2B083A92" w14:textId="77777777" w:rsidR="003940F3" w:rsidRDefault="00394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6FAD" w14:textId="77777777" w:rsidR="003940F3" w:rsidRDefault="00394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40085E"/>
    <w:multiLevelType w:val="multilevel"/>
    <w:tmpl w:val="6FEC4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73B3FD7"/>
    <w:multiLevelType w:val="hybridMultilevel"/>
    <w:tmpl w:val="4FCCD32E"/>
    <w:lvl w:ilvl="0" w:tplc="EB2690E4">
      <w:start w:val="1"/>
      <w:numFmt w:val="decimal"/>
      <w:lvlText w:val="%1."/>
      <w:lvlJc w:val="left"/>
      <w:pPr>
        <w:ind w:left="720" w:hanging="360"/>
      </w:pPr>
      <w:rPr>
        <w:rFonts w:ascii="Times New Roman" w:eastAsia="Calibri"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712344893">
    <w:abstractNumId w:val="11"/>
  </w:num>
  <w:num w:numId="2" w16cid:durableId="932131581">
    <w:abstractNumId w:val="10"/>
  </w:num>
  <w:num w:numId="3" w16cid:durableId="1619332786">
    <w:abstractNumId w:val="12"/>
  </w:num>
  <w:num w:numId="4" w16cid:durableId="1502549054">
    <w:abstractNumId w:val="1"/>
  </w:num>
  <w:num w:numId="5" w16cid:durableId="1052147479">
    <w:abstractNumId w:val="3"/>
  </w:num>
  <w:num w:numId="6" w16cid:durableId="309411299">
    <w:abstractNumId w:val="0"/>
  </w:num>
  <w:num w:numId="7" w16cid:durableId="648948794">
    <w:abstractNumId w:val="4"/>
  </w:num>
  <w:num w:numId="8" w16cid:durableId="790318270">
    <w:abstractNumId w:val="6"/>
  </w:num>
  <w:num w:numId="9" w16cid:durableId="351537401">
    <w:abstractNumId w:val="13"/>
  </w:num>
  <w:num w:numId="10" w16cid:durableId="392699821">
    <w:abstractNumId w:val="5"/>
  </w:num>
  <w:num w:numId="11" w16cid:durableId="1000083785">
    <w:abstractNumId w:val="14"/>
  </w:num>
  <w:num w:numId="12" w16cid:durableId="1321344017">
    <w:abstractNumId w:val="8"/>
  </w:num>
  <w:num w:numId="13" w16cid:durableId="49620565">
    <w:abstractNumId w:val="7"/>
  </w:num>
  <w:num w:numId="14" w16cid:durableId="406348896">
    <w:abstractNumId w:val="9"/>
  </w:num>
  <w:num w:numId="15" w16cid:durableId="2057510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5FAA"/>
    <w:rsid w:val="00007463"/>
    <w:rsid w:val="0001428A"/>
    <w:rsid w:val="00015942"/>
    <w:rsid w:val="00016435"/>
    <w:rsid w:val="00017566"/>
    <w:rsid w:val="000202E8"/>
    <w:rsid w:val="00023010"/>
    <w:rsid w:val="00023D8B"/>
    <w:rsid w:val="000240C4"/>
    <w:rsid w:val="00030D25"/>
    <w:rsid w:val="00030DBB"/>
    <w:rsid w:val="0003188A"/>
    <w:rsid w:val="00032985"/>
    <w:rsid w:val="00033CEB"/>
    <w:rsid w:val="00044CAB"/>
    <w:rsid w:val="00046DFE"/>
    <w:rsid w:val="00050427"/>
    <w:rsid w:val="00053271"/>
    <w:rsid w:val="00053D41"/>
    <w:rsid w:val="00055508"/>
    <w:rsid w:val="00060B0B"/>
    <w:rsid w:val="00062518"/>
    <w:rsid w:val="00063152"/>
    <w:rsid w:val="000640C7"/>
    <w:rsid w:val="00066215"/>
    <w:rsid w:val="000671F1"/>
    <w:rsid w:val="00070B21"/>
    <w:rsid w:val="00070ED6"/>
    <w:rsid w:val="00070EF3"/>
    <w:rsid w:val="00073EAB"/>
    <w:rsid w:val="00077247"/>
    <w:rsid w:val="00081BC9"/>
    <w:rsid w:val="000844E7"/>
    <w:rsid w:val="000909EB"/>
    <w:rsid w:val="00095A64"/>
    <w:rsid w:val="00095B14"/>
    <w:rsid w:val="00096A65"/>
    <w:rsid w:val="000A0E20"/>
    <w:rsid w:val="000A3FD2"/>
    <w:rsid w:val="000B19E9"/>
    <w:rsid w:val="000B1AF5"/>
    <w:rsid w:val="000B2D7C"/>
    <w:rsid w:val="000B7125"/>
    <w:rsid w:val="000C3443"/>
    <w:rsid w:val="000C6DCD"/>
    <w:rsid w:val="000D22BB"/>
    <w:rsid w:val="000D2E71"/>
    <w:rsid w:val="000D3EFE"/>
    <w:rsid w:val="000D748B"/>
    <w:rsid w:val="000E057B"/>
    <w:rsid w:val="000E128C"/>
    <w:rsid w:val="000E1F0C"/>
    <w:rsid w:val="000E275C"/>
    <w:rsid w:val="000E5A48"/>
    <w:rsid w:val="000E7A99"/>
    <w:rsid w:val="000F1049"/>
    <w:rsid w:val="000F5CE6"/>
    <w:rsid w:val="00105F91"/>
    <w:rsid w:val="001132AD"/>
    <w:rsid w:val="00115372"/>
    <w:rsid w:val="0011647B"/>
    <w:rsid w:val="00124A1B"/>
    <w:rsid w:val="00143277"/>
    <w:rsid w:val="001445E4"/>
    <w:rsid w:val="00150823"/>
    <w:rsid w:val="00150B26"/>
    <w:rsid w:val="00156FCF"/>
    <w:rsid w:val="00157004"/>
    <w:rsid w:val="001577E4"/>
    <w:rsid w:val="00162289"/>
    <w:rsid w:val="001661A8"/>
    <w:rsid w:val="001705CF"/>
    <w:rsid w:val="00175B04"/>
    <w:rsid w:val="0018373E"/>
    <w:rsid w:val="0018469B"/>
    <w:rsid w:val="00184FC3"/>
    <w:rsid w:val="00186511"/>
    <w:rsid w:val="0019085C"/>
    <w:rsid w:val="00191782"/>
    <w:rsid w:val="00191A6E"/>
    <w:rsid w:val="001923DD"/>
    <w:rsid w:val="00194702"/>
    <w:rsid w:val="001A0E47"/>
    <w:rsid w:val="001A5935"/>
    <w:rsid w:val="001C14FD"/>
    <w:rsid w:val="001C2F60"/>
    <w:rsid w:val="001C65B5"/>
    <w:rsid w:val="001D0FA0"/>
    <w:rsid w:val="001D3C04"/>
    <w:rsid w:val="001D6507"/>
    <w:rsid w:val="001D6F4A"/>
    <w:rsid w:val="001E4CE7"/>
    <w:rsid w:val="001E6433"/>
    <w:rsid w:val="001E6748"/>
    <w:rsid w:val="001E67A5"/>
    <w:rsid w:val="001E754D"/>
    <w:rsid w:val="001F4D9A"/>
    <w:rsid w:val="001F68A7"/>
    <w:rsid w:val="001F7C29"/>
    <w:rsid w:val="0020434A"/>
    <w:rsid w:val="00207E63"/>
    <w:rsid w:val="00211B2A"/>
    <w:rsid w:val="00212ADD"/>
    <w:rsid w:val="00224286"/>
    <w:rsid w:val="0022435B"/>
    <w:rsid w:val="0023024D"/>
    <w:rsid w:val="00233335"/>
    <w:rsid w:val="00234AE2"/>
    <w:rsid w:val="00241069"/>
    <w:rsid w:val="00241C69"/>
    <w:rsid w:val="0024541C"/>
    <w:rsid w:val="00247BB5"/>
    <w:rsid w:val="00256BE3"/>
    <w:rsid w:val="00266F48"/>
    <w:rsid w:val="00270AE5"/>
    <w:rsid w:val="00271242"/>
    <w:rsid w:val="0027186C"/>
    <w:rsid w:val="002730D8"/>
    <w:rsid w:val="00280FCB"/>
    <w:rsid w:val="00281473"/>
    <w:rsid w:val="00282D46"/>
    <w:rsid w:val="002923A6"/>
    <w:rsid w:val="002929F7"/>
    <w:rsid w:val="00294FB1"/>
    <w:rsid w:val="00297D19"/>
    <w:rsid w:val="002A27A2"/>
    <w:rsid w:val="002A2BDD"/>
    <w:rsid w:val="002B1648"/>
    <w:rsid w:val="002B31F3"/>
    <w:rsid w:val="002C57F4"/>
    <w:rsid w:val="002C7036"/>
    <w:rsid w:val="002C7407"/>
    <w:rsid w:val="002C79BA"/>
    <w:rsid w:val="002D0B08"/>
    <w:rsid w:val="002D1CED"/>
    <w:rsid w:val="002D4D56"/>
    <w:rsid w:val="002D6D79"/>
    <w:rsid w:val="002D7C38"/>
    <w:rsid w:val="002E1B28"/>
    <w:rsid w:val="002F3746"/>
    <w:rsid w:val="002F4AAE"/>
    <w:rsid w:val="00316D2C"/>
    <w:rsid w:val="003214A4"/>
    <w:rsid w:val="003245DF"/>
    <w:rsid w:val="00330974"/>
    <w:rsid w:val="00330EC9"/>
    <w:rsid w:val="00333A39"/>
    <w:rsid w:val="00344A49"/>
    <w:rsid w:val="0034540C"/>
    <w:rsid w:val="00347C65"/>
    <w:rsid w:val="003529B3"/>
    <w:rsid w:val="003652F0"/>
    <w:rsid w:val="00366151"/>
    <w:rsid w:val="0036662A"/>
    <w:rsid w:val="003865B8"/>
    <w:rsid w:val="00391584"/>
    <w:rsid w:val="0039259D"/>
    <w:rsid w:val="00393F28"/>
    <w:rsid w:val="003940F3"/>
    <w:rsid w:val="003943DC"/>
    <w:rsid w:val="00397AD7"/>
    <w:rsid w:val="003A1AD9"/>
    <w:rsid w:val="003A200A"/>
    <w:rsid w:val="003A332E"/>
    <w:rsid w:val="003B2FAE"/>
    <w:rsid w:val="003B6643"/>
    <w:rsid w:val="003B6A9B"/>
    <w:rsid w:val="003B726A"/>
    <w:rsid w:val="003C6054"/>
    <w:rsid w:val="003D4E0E"/>
    <w:rsid w:val="003D4EB4"/>
    <w:rsid w:val="003E09D5"/>
    <w:rsid w:val="003E77A4"/>
    <w:rsid w:val="003F5676"/>
    <w:rsid w:val="003F7DF8"/>
    <w:rsid w:val="0040628C"/>
    <w:rsid w:val="00411C08"/>
    <w:rsid w:val="004136A8"/>
    <w:rsid w:val="00414392"/>
    <w:rsid w:val="00417DC7"/>
    <w:rsid w:val="00421AD5"/>
    <w:rsid w:val="004322A4"/>
    <w:rsid w:val="004378EE"/>
    <w:rsid w:val="00447D74"/>
    <w:rsid w:val="00452AAF"/>
    <w:rsid w:val="00452FA3"/>
    <w:rsid w:val="00455305"/>
    <w:rsid w:val="004619C0"/>
    <w:rsid w:val="004631DA"/>
    <w:rsid w:val="004639C4"/>
    <w:rsid w:val="00475D1E"/>
    <w:rsid w:val="00475E13"/>
    <w:rsid w:val="00482B56"/>
    <w:rsid w:val="004853EA"/>
    <w:rsid w:val="00485479"/>
    <w:rsid w:val="00485F22"/>
    <w:rsid w:val="00487204"/>
    <w:rsid w:val="004876E5"/>
    <w:rsid w:val="004923DB"/>
    <w:rsid w:val="004A0897"/>
    <w:rsid w:val="004A42BF"/>
    <w:rsid w:val="004A5F41"/>
    <w:rsid w:val="004A6A07"/>
    <w:rsid w:val="004A704E"/>
    <w:rsid w:val="004B2CD5"/>
    <w:rsid w:val="004B5C52"/>
    <w:rsid w:val="004C1CE4"/>
    <w:rsid w:val="004C44BD"/>
    <w:rsid w:val="004C58E9"/>
    <w:rsid w:val="004D11D5"/>
    <w:rsid w:val="004D1FB6"/>
    <w:rsid w:val="004D5FC3"/>
    <w:rsid w:val="004D66FF"/>
    <w:rsid w:val="004E0590"/>
    <w:rsid w:val="004E358F"/>
    <w:rsid w:val="004E6B69"/>
    <w:rsid w:val="004F7609"/>
    <w:rsid w:val="005004F3"/>
    <w:rsid w:val="005054C5"/>
    <w:rsid w:val="00510A85"/>
    <w:rsid w:val="005206B0"/>
    <w:rsid w:val="00520904"/>
    <w:rsid w:val="00527115"/>
    <w:rsid w:val="0053023F"/>
    <w:rsid w:val="005303DC"/>
    <w:rsid w:val="00530480"/>
    <w:rsid w:val="0053182B"/>
    <w:rsid w:val="005376D6"/>
    <w:rsid w:val="0054453C"/>
    <w:rsid w:val="00545CE9"/>
    <w:rsid w:val="00547C74"/>
    <w:rsid w:val="005516A5"/>
    <w:rsid w:val="005533C2"/>
    <w:rsid w:val="00563838"/>
    <w:rsid w:val="00563B3D"/>
    <w:rsid w:val="005671CE"/>
    <w:rsid w:val="00571253"/>
    <w:rsid w:val="0057371A"/>
    <w:rsid w:val="00581700"/>
    <w:rsid w:val="00581B51"/>
    <w:rsid w:val="005903F9"/>
    <w:rsid w:val="00593EE0"/>
    <w:rsid w:val="005953D7"/>
    <w:rsid w:val="00597AFF"/>
    <w:rsid w:val="005A0AC7"/>
    <w:rsid w:val="005A3FE6"/>
    <w:rsid w:val="005A4A5F"/>
    <w:rsid w:val="005A640D"/>
    <w:rsid w:val="005A771F"/>
    <w:rsid w:val="005B09A6"/>
    <w:rsid w:val="005B1293"/>
    <w:rsid w:val="005B79FB"/>
    <w:rsid w:val="005B7C13"/>
    <w:rsid w:val="005C11A9"/>
    <w:rsid w:val="005C492A"/>
    <w:rsid w:val="005C5B4A"/>
    <w:rsid w:val="005C5ECB"/>
    <w:rsid w:val="005D1053"/>
    <w:rsid w:val="005E0604"/>
    <w:rsid w:val="005E1221"/>
    <w:rsid w:val="005E5744"/>
    <w:rsid w:val="005F038F"/>
    <w:rsid w:val="005F0F88"/>
    <w:rsid w:val="005F3877"/>
    <w:rsid w:val="006078D1"/>
    <w:rsid w:val="00607C88"/>
    <w:rsid w:val="006106A7"/>
    <w:rsid w:val="00611C52"/>
    <w:rsid w:val="00613BBB"/>
    <w:rsid w:val="00615ACB"/>
    <w:rsid w:val="006179ED"/>
    <w:rsid w:val="006259D7"/>
    <w:rsid w:val="00626D21"/>
    <w:rsid w:val="006301B9"/>
    <w:rsid w:val="00631726"/>
    <w:rsid w:val="00633EC5"/>
    <w:rsid w:val="006351B9"/>
    <w:rsid w:val="00635B87"/>
    <w:rsid w:val="0064720A"/>
    <w:rsid w:val="00647DE4"/>
    <w:rsid w:val="006507EE"/>
    <w:rsid w:val="00661D02"/>
    <w:rsid w:val="00665BE2"/>
    <w:rsid w:val="0067708D"/>
    <w:rsid w:val="0067787C"/>
    <w:rsid w:val="00677B1E"/>
    <w:rsid w:val="00677C93"/>
    <w:rsid w:val="006824CC"/>
    <w:rsid w:val="006836FA"/>
    <w:rsid w:val="00686E67"/>
    <w:rsid w:val="00690AB6"/>
    <w:rsid w:val="00690B46"/>
    <w:rsid w:val="00696DBF"/>
    <w:rsid w:val="00696E7D"/>
    <w:rsid w:val="006A1E78"/>
    <w:rsid w:val="006A22E2"/>
    <w:rsid w:val="006A78E4"/>
    <w:rsid w:val="006B0D85"/>
    <w:rsid w:val="006B0DD6"/>
    <w:rsid w:val="006B526A"/>
    <w:rsid w:val="006B75D2"/>
    <w:rsid w:val="006C0163"/>
    <w:rsid w:val="006D1718"/>
    <w:rsid w:val="006E05A9"/>
    <w:rsid w:val="006E0B8B"/>
    <w:rsid w:val="006E16C9"/>
    <w:rsid w:val="006E67AE"/>
    <w:rsid w:val="006E798D"/>
    <w:rsid w:val="006E7C89"/>
    <w:rsid w:val="006F23CE"/>
    <w:rsid w:val="0070221E"/>
    <w:rsid w:val="007050CA"/>
    <w:rsid w:val="007070F4"/>
    <w:rsid w:val="00707C95"/>
    <w:rsid w:val="00710DD2"/>
    <w:rsid w:val="0072623F"/>
    <w:rsid w:val="007263AF"/>
    <w:rsid w:val="00727011"/>
    <w:rsid w:val="007350FF"/>
    <w:rsid w:val="00737325"/>
    <w:rsid w:val="007410B0"/>
    <w:rsid w:val="00741C32"/>
    <w:rsid w:val="00742585"/>
    <w:rsid w:val="00747BC9"/>
    <w:rsid w:val="00751DDD"/>
    <w:rsid w:val="007537EC"/>
    <w:rsid w:val="00760318"/>
    <w:rsid w:val="00761496"/>
    <w:rsid w:val="00761F33"/>
    <w:rsid w:val="007769FC"/>
    <w:rsid w:val="0078534B"/>
    <w:rsid w:val="00787C89"/>
    <w:rsid w:val="00791279"/>
    <w:rsid w:val="007972A2"/>
    <w:rsid w:val="007B3E81"/>
    <w:rsid w:val="007C1CA1"/>
    <w:rsid w:val="007D3038"/>
    <w:rsid w:val="007D42C6"/>
    <w:rsid w:val="007E1501"/>
    <w:rsid w:val="007E33DA"/>
    <w:rsid w:val="007E69B5"/>
    <w:rsid w:val="007F5F38"/>
    <w:rsid w:val="0080172F"/>
    <w:rsid w:val="00811BF1"/>
    <w:rsid w:val="008127AF"/>
    <w:rsid w:val="00814122"/>
    <w:rsid w:val="00817EF3"/>
    <w:rsid w:val="0082428A"/>
    <w:rsid w:val="008359DC"/>
    <w:rsid w:val="00851DCB"/>
    <w:rsid w:val="0085384B"/>
    <w:rsid w:val="0085430B"/>
    <w:rsid w:val="00856EDA"/>
    <w:rsid w:val="008576A6"/>
    <w:rsid w:val="00865C80"/>
    <w:rsid w:val="008663E3"/>
    <w:rsid w:val="00880909"/>
    <w:rsid w:val="008820BA"/>
    <w:rsid w:val="00885C3D"/>
    <w:rsid w:val="00887B84"/>
    <w:rsid w:val="00890A7C"/>
    <w:rsid w:val="008923B9"/>
    <w:rsid w:val="00894683"/>
    <w:rsid w:val="008A3E24"/>
    <w:rsid w:val="008A53CB"/>
    <w:rsid w:val="008A5A0D"/>
    <w:rsid w:val="008B3037"/>
    <w:rsid w:val="008C3DAE"/>
    <w:rsid w:val="008C4CE9"/>
    <w:rsid w:val="008C5A55"/>
    <w:rsid w:val="008D4415"/>
    <w:rsid w:val="008D444C"/>
    <w:rsid w:val="008D55D4"/>
    <w:rsid w:val="008D5F38"/>
    <w:rsid w:val="008D7278"/>
    <w:rsid w:val="008E2069"/>
    <w:rsid w:val="008E3A92"/>
    <w:rsid w:val="008E3C68"/>
    <w:rsid w:val="008E472A"/>
    <w:rsid w:val="008F38C3"/>
    <w:rsid w:val="009220EC"/>
    <w:rsid w:val="00925C3E"/>
    <w:rsid w:val="00926630"/>
    <w:rsid w:val="00933886"/>
    <w:rsid w:val="00934F45"/>
    <w:rsid w:val="009422B0"/>
    <w:rsid w:val="00947C9D"/>
    <w:rsid w:val="00954EEB"/>
    <w:rsid w:val="00956C1E"/>
    <w:rsid w:val="0097341D"/>
    <w:rsid w:val="00987F43"/>
    <w:rsid w:val="00990EB8"/>
    <w:rsid w:val="009913E3"/>
    <w:rsid w:val="009924A0"/>
    <w:rsid w:val="0099342A"/>
    <w:rsid w:val="009961A8"/>
    <w:rsid w:val="009A1219"/>
    <w:rsid w:val="009A3E23"/>
    <w:rsid w:val="009A662F"/>
    <w:rsid w:val="009B2BC0"/>
    <w:rsid w:val="009B3957"/>
    <w:rsid w:val="009B4714"/>
    <w:rsid w:val="009B7A40"/>
    <w:rsid w:val="009C1904"/>
    <w:rsid w:val="009C336C"/>
    <w:rsid w:val="009C687C"/>
    <w:rsid w:val="009D3B8E"/>
    <w:rsid w:val="009D3BAD"/>
    <w:rsid w:val="009E1857"/>
    <w:rsid w:val="009E69E2"/>
    <w:rsid w:val="009E7F18"/>
    <w:rsid w:val="009F0535"/>
    <w:rsid w:val="00A00DB1"/>
    <w:rsid w:val="00A05F9C"/>
    <w:rsid w:val="00A076DC"/>
    <w:rsid w:val="00A127C6"/>
    <w:rsid w:val="00A24DB0"/>
    <w:rsid w:val="00A26CB7"/>
    <w:rsid w:val="00A2721F"/>
    <w:rsid w:val="00A31C11"/>
    <w:rsid w:val="00A323E0"/>
    <w:rsid w:val="00A34406"/>
    <w:rsid w:val="00A34915"/>
    <w:rsid w:val="00A3535C"/>
    <w:rsid w:val="00A35603"/>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80ADA"/>
    <w:rsid w:val="00A845D7"/>
    <w:rsid w:val="00A91F0C"/>
    <w:rsid w:val="00A937EF"/>
    <w:rsid w:val="00A9443D"/>
    <w:rsid w:val="00AA30C9"/>
    <w:rsid w:val="00AA3EF8"/>
    <w:rsid w:val="00AB4283"/>
    <w:rsid w:val="00AC4B6C"/>
    <w:rsid w:val="00AC6352"/>
    <w:rsid w:val="00AC644B"/>
    <w:rsid w:val="00AC73C3"/>
    <w:rsid w:val="00AD5789"/>
    <w:rsid w:val="00AD6D50"/>
    <w:rsid w:val="00AE3CE8"/>
    <w:rsid w:val="00AE4ABF"/>
    <w:rsid w:val="00AE6787"/>
    <w:rsid w:val="00AF029B"/>
    <w:rsid w:val="00AF0898"/>
    <w:rsid w:val="00AF0A0D"/>
    <w:rsid w:val="00AF1F99"/>
    <w:rsid w:val="00AF25D0"/>
    <w:rsid w:val="00AF2A89"/>
    <w:rsid w:val="00AF7AB5"/>
    <w:rsid w:val="00B00E19"/>
    <w:rsid w:val="00B058B6"/>
    <w:rsid w:val="00B0591B"/>
    <w:rsid w:val="00B06DF8"/>
    <w:rsid w:val="00B1094E"/>
    <w:rsid w:val="00B14AA0"/>
    <w:rsid w:val="00B259E5"/>
    <w:rsid w:val="00B26628"/>
    <w:rsid w:val="00B3130A"/>
    <w:rsid w:val="00B33BD8"/>
    <w:rsid w:val="00B42F3A"/>
    <w:rsid w:val="00B4351C"/>
    <w:rsid w:val="00B44CD9"/>
    <w:rsid w:val="00B46548"/>
    <w:rsid w:val="00B47BB9"/>
    <w:rsid w:val="00B51113"/>
    <w:rsid w:val="00B53DCE"/>
    <w:rsid w:val="00B66D73"/>
    <w:rsid w:val="00B67720"/>
    <w:rsid w:val="00B70A77"/>
    <w:rsid w:val="00B7378D"/>
    <w:rsid w:val="00B748DF"/>
    <w:rsid w:val="00B75709"/>
    <w:rsid w:val="00B87121"/>
    <w:rsid w:val="00B905D0"/>
    <w:rsid w:val="00B92508"/>
    <w:rsid w:val="00B92EC5"/>
    <w:rsid w:val="00B9676C"/>
    <w:rsid w:val="00BA08B7"/>
    <w:rsid w:val="00BA3F54"/>
    <w:rsid w:val="00BA57E5"/>
    <w:rsid w:val="00BA694E"/>
    <w:rsid w:val="00BB138B"/>
    <w:rsid w:val="00BC5BDA"/>
    <w:rsid w:val="00BD0780"/>
    <w:rsid w:val="00BD17AE"/>
    <w:rsid w:val="00BE1E8F"/>
    <w:rsid w:val="00BE6468"/>
    <w:rsid w:val="00BE6CC1"/>
    <w:rsid w:val="00BF587A"/>
    <w:rsid w:val="00BF7592"/>
    <w:rsid w:val="00C02E76"/>
    <w:rsid w:val="00C13806"/>
    <w:rsid w:val="00C1798F"/>
    <w:rsid w:val="00C2262B"/>
    <w:rsid w:val="00C23560"/>
    <w:rsid w:val="00C25577"/>
    <w:rsid w:val="00C25B44"/>
    <w:rsid w:val="00C27ED7"/>
    <w:rsid w:val="00C3317D"/>
    <w:rsid w:val="00C33E49"/>
    <w:rsid w:val="00C35591"/>
    <w:rsid w:val="00C35A56"/>
    <w:rsid w:val="00C40546"/>
    <w:rsid w:val="00C41BD5"/>
    <w:rsid w:val="00C41EDB"/>
    <w:rsid w:val="00C42FA7"/>
    <w:rsid w:val="00C469DB"/>
    <w:rsid w:val="00C52B5C"/>
    <w:rsid w:val="00C535B1"/>
    <w:rsid w:val="00C5774B"/>
    <w:rsid w:val="00C6260A"/>
    <w:rsid w:val="00C660AF"/>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56B8"/>
    <w:rsid w:val="00CA6AE7"/>
    <w:rsid w:val="00CB2043"/>
    <w:rsid w:val="00CB2790"/>
    <w:rsid w:val="00CB505F"/>
    <w:rsid w:val="00CB7939"/>
    <w:rsid w:val="00CC5451"/>
    <w:rsid w:val="00CE3166"/>
    <w:rsid w:val="00CE3F94"/>
    <w:rsid w:val="00CE53AB"/>
    <w:rsid w:val="00CF169A"/>
    <w:rsid w:val="00CF1DFC"/>
    <w:rsid w:val="00CF2C5D"/>
    <w:rsid w:val="00CF78C6"/>
    <w:rsid w:val="00CF7C87"/>
    <w:rsid w:val="00D0429B"/>
    <w:rsid w:val="00D16B4A"/>
    <w:rsid w:val="00D16C72"/>
    <w:rsid w:val="00D22BEC"/>
    <w:rsid w:val="00D245EA"/>
    <w:rsid w:val="00D24AF2"/>
    <w:rsid w:val="00D36D9D"/>
    <w:rsid w:val="00D3775B"/>
    <w:rsid w:val="00D4190F"/>
    <w:rsid w:val="00D44882"/>
    <w:rsid w:val="00D548C8"/>
    <w:rsid w:val="00D54ED4"/>
    <w:rsid w:val="00D554B6"/>
    <w:rsid w:val="00D6001B"/>
    <w:rsid w:val="00D633A3"/>
    <w:rsid w:val="00D64E07"/>
    <w:rsid w:val="00D66763"/>
    <w:rsid w:val="00D7108A"/>
    <w:rsid w:val="00D73ECD"/>
    <w:rsid w:val="00D74707"/>
    <w:rsid w:val="00D75FA7"/>
    <w:rsid w:val="00D85ACE"/>
    <w:rsid w:val="00DA291B"/>
    <w:rsid w:val="00DB3586"/>
    <w:rsid w:val="00DB5C6B"/>
    <w:rsid w:val="00DC11E3"/>
    <w:rsid w:val="00DC5385"/>
    <w:rsid w:val="00DC769B"/>
    <w:rsid w:val="00DC7728"/>
    <w:rsid w:val="00DC7AB7"/>
    <w:rsid w:val="00DD16A8"/>
    <w:rsid w:val="00DD3616"/>
    <w:rsid w:val="00DD622B"/>
    <w:rsid w:val="00DD6CB9"/>
    <w:rsid w:val="00DE1BD0"/>
    <w:rsid w:val="00DE27F8"/>
    <w:rsid w:val="00DE55A6"/>
    <w:rsid w:val="00DE693B"/>
    <w:rsid w:val="00DE6A01"/>
    <w:rsid w:val="00DF1E55"/>
    <w:rsid w:val="00E010D9"/>
    <w:rsid w:val="00E14905"/>
    <w:rsid w:val="00E17087"/>
    <w:rsid w:val="00E307F8"/>
    <w:rsid w:val="00E30E83"/>
    <w:rsid w:val="00E314FC"/>
    <w:rsid w:val="00E409B4"/>
    <w:rsid w:val="00E42B0B"/>
    <w:rsid w:val="00E47083"/>
    <w:rsid w:val="00E47926"/>
    <w:rsid w:val="00E529EF"/>
    <w:rsid w:val="00E52C47"/>
    <w:rsid w:val="00E53919"/>
    <w:rsid w:val="00E53DCA"/>
    <w:rsid w:val="00E574EC"/>
    <w:rsid w:val="00E6399A"/>
    <w:rsid w:val="00E72F4B"/>
    <w:rsid w:val="00E8185E"/>
    <w:rsid w:val="00E8785C"/>
    <w:rsid w:val="00E87AF4"/>
    <w:rsid w:val="00E9224C"/>
    <w:rsid w:val="00E95B1A"/>
    <w:rsid w:val="00EA47FF"/>
    <w:rsid w:val="00EB54F3"/>
    <w:rsid w:val="00EB6DB9"/>
    <w:rsid w:val="00EB7F68"/>
    <w:rsid w:val="00EC036E"/>
    <w:rsid w:val="00EC0828"/>
    <w:rsid w:val="00EC38AE"/>
    <w:rsid w:val="00EC641A"/>
    <w:rsid w:val="00EC6B07"/>
    <w:rsid w:val="00ED0AC3"/>
    <w:rsid w:val="00ED76BF"/>
    <w:rsid w:val="00EE0D2D"/>
    <w:rsid w:val="00EE5396"/>
    <w:rsid w:val="00EE6176"/>
    <w:rsid w:val="00EF0A83"/>
    <w:rsid w:val="00EF324D"/>
    <w:rsid w:val="00EF52E1"/>
    <w:rsid w:val="00EF5D3D"/>
    <w:rsid w:val="00EF6363"/>
    <w:rsid w:val="00F047A9"/>
    <w:rsid w:val="00F063F4"/>
    <w:rsid w:val="00F07C3A"/>
    <w:rsid w:val="00F15BB7"/>
    <w:rsid w:val="00F15C25"/>
    <w:rsid w:val="00F16636"/>
    <w:rsid w:val="00F17A0F"/>
    <w:rsid w:val="00F201A8"/>
    <w:rsid w:val="00F30E99"/>
    <w:rsid w:val="00F34B89"/>
    <w:rsid w:val="00F36127"/>
    <w:rsid w:val="00F37C02"/>
    <w:rsid w:val="00F43952"/>
    <w:rsid w:val="00F449CA"/>
    <w:rsid w:val="00F45551"/>
    <w:rsid w:val="00F45F44"/>
    <w:rsid w:val="00F46B15"/>
    <w:rsid w:val="00F46DCE"/>
    <w:rsid w:val="00F50C1A"/>
    <w:rsid w:val="00F51170"/>
    <w:rsid w:val="00F56078"/>
    <w:rsid w:val="00F636CC"/>
    <w:rsid w:val="00F65129"/>
    <w:rsid w:val="00F66624"/>
    <w:rsid w:val="00F66BB6"/>
    <w:rsid w:val="00F66C18"/>
    <w:rsid w:val="00F7164D"/>
    <w:rsid w:val="00F74AD4"/>
    <w:rsid w:val="00F760E7"/>
    <w:rsid w:val="00F7759E"/>
    <w:rsid w:val="00F822A7"/>
    <w:rsid w:val="00F8394C"/>
    <w:rsid w:val="00F83B83"/>
    <w:rsid w:val="00F860AD"/>
    <w:rsid w:val="00F90E2E"/>
    <w:rsid w:val="00FA05C8"/>
    <w:rsid w:val="00FA0EBC"/>
    <w:rsid w:val="00FA1112"/>
    <w:rsid w:val="00FA1A39"/>
    <w:rsid w:val="00FA1C73"/>
    <w:rsid w:val="00FA2FE9"/>
    <w:rsid w:val="00FB2A58"/>
    <w:rsid w:val="00FB32DA"/>
    <w:rsid w:val="00FC1DE0"/>
    <w:rsid w:val="00FC48EB"/>
    <w:rsid w:val="00FD0EAB"/>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styleId="UnresolvedMention">
    <w:name w:val="Unresolved Mention"/>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C1798F"/>
    <w:rPr>
      <w:rFonts w:eastAsia="Times New Roman"/>
      <w:szCs w:val="20"/>
      <w:lang w:eastAsia="lt-LT"/>
    </w:rPr>
  </w:style>
  <w:style w:type="paragraph" w:styleId="Header">
    <w:name w:val="header"/>
    <w:basedOn w:val="Normal"/>
    <w:link w:val="HeaderChar"/>
    <w:uiPriority w:val="99"/>
    <w:unhideWhenUsed/>
    <w:rsid w:val="003940F3"/>
    <w:pPr>
      <w:tabs>
        <w:tab w:val="center" w:pos="4819"/>
        <w:tab w:val="right" w:pos="9638"/>
      </w:tabs>
    </w:pPr>
  </w:style>
  <w:style w:type="character" w:customStyle="1" w:styleId="HeaderChar">
    <w:name w:val="Header Char"/>
    <w:basedOn w:val="DefaultParagraphFont"/>
    <w:link w:val="Header"/>
    <w:uiPriority w:val="99"/>
    <w:rsid w:val="003940F3"/>
    <w:rPr>
      <w:rFonts w:eastAsia="Times New Roman"/>
      <w:szCs w:val="20"/>
      <w:lang w:eastAsia="lt-LT"/>
    </w:rPr>
  </w:style>
  <w:style w:type="paragraph" w:styleId="Footer">
    <w:name w:val="footer"/>
    <w:basedOn w:val="Normal"/>
    <w:link w:val="FooterChar"/>
    <w:uiPriority w:val="99"/>
    <w:unhideWhenUsed/>
    <w:rsid w:val="003940F3"/>
    <w:pPr>
      <w:tabs>
        <w:tab w:val="center" w:pos="4819"/>
        <w:tab w:val="right" w:pos="9638"/>
      </w:tabs>
    </w:pPr>
  </w:style>
  <w:style w:type="character" w:customStyle="1" w:styleId="FooterChar">
    <w:name w:val="Footer Char"/>
    <w:basedOn w:val="DefaultParagraphFont"/>
    <w:link w:val="Footer"/>
    <w:uiPriority w:val="99"/>
    <w:rsid w:val="003940F3"/>
    <w:rPr>
      <w:rFonts w:eastAsia="Times New Roman"/>
      <w:szCs w:val="20"/>
      <w:lang w:eastAsia="lt-LT"/>
    </w:rPr>
  </w:style>
  <w:style w:type="paragraph" w:customStyle="1" w:styleId="DiagramaDiagrama">
    <w:name w:val="Diagrama Diagrama"/>
    <w:basedOn w:val="Normal"/>
    <w:rsid w:val="009C336C"/>
    <w:pPr>
      <w:spacing w:after="160" w:line="240" w:lineRule="exact"/>
    </w:pPr>
    <w:rPr>
      <w:rFonts w:ascii="Tahoma" w:hAnsi="Tahoma"/>
      <w:sz w:val="20"/>
      <w:lang w:val="en-US" w:eastAsia="en-US"/>
    </w:rPr>
  </w:style>
  <w:style w:type="paragraph" w:styleId="NoSpacing">
    <w:name w:val="No Spacing"/>
    <w:uiPriority w:val="1"/>
    <w:qFormat/>
    <w:rsid w:val="009C336C"/>
    <w:pPr>
      <w:spacing w:after="0"/>
      <w:jc w:val="left"/>
    </w:pPr>
    <w:rPr>
      <w:rFonts w:ascii="Calibri" w:eastAsia="Calibri" w:hAnsi="Calibri"/>
      <w:sz w:val="22"/>
    </w:rPr>
  </w:style>
  <w:style w:type="paragraph" w:styleId="FootnoteText">
    <w:name w:val="footnote text"/>
    <w:basedOn w:val="Normal"/>
    <w:link w:val="FootnoteTextChar"/>
    <w:uiPriority w:val="99"/>
    <w:semiHidden/>
    <w:unhideWhenUsed/>
    <w:rsid w:val="00BA08B7"/>
    <w:rPr>
      <w:sz w:val="20"/>
    </w:rPr>
  </w:style>
  <w:style w:type="character" w:customStyle="1" w:styleId="FootnoteTextChar">
    <w:name w:val="Footnote Text Char"/>
    <w:basedOn w:val="DefaultParagraphFont"/>
    <w:link w:val="FootnoteText"/>
    <w:uiPriority w:val="99"/>
    <w:semiHidden/>
    <w:rsid w:val="00BA08B7"/>
    <w:rPr>
      <w:rFonts w:eastAsia="Times New Roman"/>
      <w:sz w:val="20"/>
      <w:szCs w:val="20"/>
      <w:lang w:eastAsia="lt-LT"/>
    </w:rPr>
  </w:style>
  <w:style w:type="character" w:styleId="FootnoteReference">
    <w:name w:val="footnote reference"/>
    <w:basedOn w:val="DefaultParagraphFont"/>
    <w:uiPriority w:val="99"/>
    <w:semiHidden/>
    <w:unhideWhenUsed/>
    <w:rsid w:val="00BA0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6250">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88180771">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625815203">
      <w:bodyDiv w:val="1"/>
      <w:marLeft w:val="0"/>
      <w:marRight w:val="0"/>
      <w:marTop w:val="0"/>
      <w:marBottom w:val="0"/>
      <w:divBdr>
        <w:top w:val="none" w:sz="0" w:space="0" w:color="auto"/>
        <w:left w:val="none" w:sz="0" w:space="0" w:color="auto"/>
        <w:bottom w:val="none" w:sz="0" w:space="0" w:color="auto"/>
        <w:right w:val="none" w:sz="0" w:space="0" w:color="auto"/>
      </w:divBdr>
    </w:div>
    <w:div w:id="629749318">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50167886">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312767">
      <w:bodyDiv w:val="1"/>
      <w:marLeft w:val="0"/>
      <w:marRight w:val="0"/>
      <w:marTop w:val="0"/>
      <w:marBottom w:val="0"/>
      <w:divBdr>
        <w:top w:val="none" w:sz="0" w:space="0" w:color="auto"/>
        <w:left w:val="none" w:sz="0" w:space="0" w:color="auto"/>
        <w:bottom w:val="none" w:sz="0" w:space="0" w:color="auto"/>
        <w:right w:val="none" w:sz="0" w:space="0" w:color="auto"/>
      </w:divBdr>
    </w:div>
    <w:div w:id="1181702228">
      <w:bodyDiv w:val="1"/>
      <w:marLeft w:val="0"/>
      <w:marRight w:val="0"/>
      <w:marTop w:val="0"/>
      <w:marBottom w:val="0"/>
      <w:divBdr>
        <w:top w:val="none" w:sz="0" w:space="0" w:color="auto"/>
        <w:left w:val="none" w:sz="0" w:space="0" w:color="auto"/>
        <w:bottom w:val="none" w:sz="0" w:space="0" w:color="auto"/>
        <w:right w:val="none" w:sz="0" w:space="0" w:color="auto"/>
      </w:divBdr>
    </w:div>
    <w:div w:id="1332484877">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91410453">
      <w:bodyDiv w:val="1"/>
      <w:marLeft w:val="0"/>
      <w:marRight w:val="0"/>
      <w:marTop w:val="0"/>
      <w:marBottom w:val="0"/>
      <w:divBdr>
        <w:top w:val="none" w:sz="0" w:space="0" w:color="auto"/>
        <w:left w:val="none" w:sz="0" w:space="0" w:color="auto"/>
        <w:bottom w:val="none" w:sz="0" w:space="0" w:color="auto"/>
        <w:right w:val="none" w:sz="0" w:space="0" w:color="auto"/>
      </w:divBdr>
    </w:div>
    <w:div w:id="1516652388">
      <w:bodyDiv w:val="1"/>
      <w:marLeft w:val="0"/>
      <w:marRight w:val="0"/>
      <w:marTop w:val="0"/>
      <w:marBottom w:val="0"/>
      <w:divBdr>
        <w:top w:val="none" w:sz="0" w:space="0" w:color="auto"/>
        <w:left w:val="none" w:sz="0" w:space="0" w:color="auto"/>
        <w:bottom w:val="none" w:sz="0" w:space="0" w:color="auto"/>
        <w:right w:val="none" w:sz="0" w:space="0" w:color="auto"/>
      </w:divBdr>
    </w:div>
    <w:div w:id="1737976010">
      <w:bodyDiv w:val="1"/>
      <w:marLeft w:val="0"/>
      <w:marRight w:val="0"/>
      <w:marTop w:val="0"/>
      <w:marBottom w:val="0"/>
      <w:divBdr>
        <w:top w:val="none" w:sz="0" w:space="0" w:color="auto"/>
        <w:left w:val="none" w:sz="0" w:space="0" w:color="auto"/>
        <w:bottom w:val="none" w:sz="0" w:space="0" w:color="auto"/>
        <w:right w:val="none" w:sz="0" w:space="0" w:color="auto"/>
      </w:divBdr>
    </w:div>
    <w:div w:id="1904635921">
      <w:bodyDiv w:val="1"/>
      <w:marLeft w:val="0"/>
      <w:marRight w:val="0"/>
      <w:marTop w:val="0"/>
      <w:marBottom w:val="0"/>
      <w:divBdr>
        <w:top w:val="none" w:sz="0" w:space="0" w:color="auto"/>
        <w:left w:val="none" w:sz="0" w:space="0" w:color="auto"/>
        <w:bottom w:val="none" w:sz="0" w:space="0" w:color="auto"/>
        <w:right w:val="none" w:sz="0" w:space="0" w:color="auto"/>
      </w:divBdr>
    </w:div>
    <w:div w:id="2052217749">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fc9dfca06681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2.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3.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6699</Words>
  <Characters>3819</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Živilė Bilotienė</cp:lastModifiedBy>
  <cp:revision>12</cp:revision>
  <dcterms:created xsi:type="dcterms:W3CDTF">2023-01-11T06:11:00Z</dcterms:created>
  <dcterms:modified xsi:type="dcterms:W3CDTF">2025-05-12T06:31:00Z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