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Look w:val="04A0" w:firstRow="1" w:lastRow="0" w:firstColumn="1" w:lastColumn="0" w:noHBand="0" w:noVBand="1"/>
      </w:tblPr>
      <w:tblGrid>
        <w:gridCol w:w="222"/>
        <w:gridCol w:w="222"/>
        <w:gridCol w:w="222"/>
        <w:gridCol w:w="14360"/>
      </w:tblGrid>
      <w:tr w:rsidR="00C023A2" w:rsidRPr="0075139C" w14:paraId="2D7A8737" w14:textId="77777777" w:rsidTr="00980E79">
        <w:tc>
          <w:tcPr>
            <w:tcW w:w="222" w:type="dxa"/>
          </w:tcPr>
          <w:p w14:paraId="29B93443" w14:textId="78B5D4BC" w:rsidR="00C023A2" w:rsidRPr="0075139C" w:rsidRDefault="00C023A2" w:rsidP="00351E97">
            <w:pPr>
              <w:spacing w:after="0" w:line="240" w:lineRule="auto"/>
              <w:jc w:val="right"/>
              <w:rPr>
                <w:rFonts w:ascii="Times New Roman" w:hAnsi="Times New Roman"/>
                <w:sz w:val="24"/>
                <w:szCs w:val="24"/>
                <w:highlight w:val="lightGray"/>
                <w:shd w:val="clear" w:color="auto" w:fill="FFFFFF"/>
                <w:lang w:eastAsia="lt-LT"/>
              </w:rPr>
            </w:pPr>
            <w:r w:rsidRPr="0075139C">
              <w:rPr>
                <w:rFonts w:ascii="Times New Roman" w:hAnsi="Times New Roman"/>
                <w:noProof/>
                <w:sz w:val="24"/>
                <w:szCs w:val="24"/>
              </w:rPr>
              <w:t xml:space="preserve">                           </w:t>
            </w:r>
            <w:bookmarkStart w:id="0" w:name="_Hlk32578650"/>
          </w:p>
        </w:tc>
        <w:tc>
          <w:tcPr>
            <w:tcW w:w="222" w:type="dxa"/>
            <w:vAlign w:val="center"/>
          </w:tcPr>
          <w:p w14:paraId="4116AF4E" w14:textId="77777777" w:rsidR="00C023A2" w:rsidRPr="0075139C" w:rsidRDefault="00C023A2" w:rsidP="00C023A2">
            <w:pPr>
              <w:spacing w:after="0" w:line="240" w:lineRule="auto"/>
              <w:jc w:val="center"/>
              <w:rPr>
                <w:rFonts w:ascii="Times New Roman" w:hAnsi="Times New Roman"/>
                <w:sz w:val="24"/>
                <w:szCs w:val="24"/>
                <w:highlight w:val="lightGray"/>
                <w:shd w:val="clear" w:color="auto" w:fill="FFFFFF"/>
                <w:lang w:eastAsia="lt-LT"/>
              </w:rPr>
            </w:pPr>
          </w:p>
        </w:tc>
        <w:tc>
          <w:tcPr>
            <w:tcW w:w="222" w:type="dxa"/>
            <w:vAlign w:val="center"/>
          </w:tcPr>
          <w:p w14:paraId="1E500952" w14:textId="77777777" w:rsidR="00C023A2" w:rsidRPr="0075139C" w:rsidRDefault="00C023A2" w:rsidP="00C023A2">
            <w:pPr>
              <w:spacing w:after="0" w:line="240" w:lineRule="auto"/>
              <w:jc w:val="center"/>
              <w:rPr>
                <w:rFonts w:ascii="Times New Roman" w:hAnsi="Times New Roman"/>
                <w:sz w:val="24"/>
                <w:szCs w:val="24"/>
                <w:shd w:val="clear" w:color="auto" w:fill="FFFFFF"/>
                <w:lang w:eastAsia="lt-LT"/>
              </w:rPr>
            </w:pPr>
          </w:p>
        </w:tc>
        <w:tc>
          <w:tcPr>
            <w:tcW w:w="14360" w:type="dxa"/>
          </w:tcPr>
          <w:p w14:paraId="40FCE9AA" w14:textId="77777777" w:rsidR="009D1172" w:rsidRPr="0075139C" w:rsidRDefault="009D1172" w:rsidP="009D1172">
            <w:pPr>
              <w:spacing w:after="0" w:line="240" w:lineRule="auto"/>
              <w:jc w:val="right"/>
              <w:rPr>
                <w:rFonts w:ascii="Times New Roman" w:hAnsi="Times New Roman"/>
                <w:iCs/>
                <w:sz w:val="20"/>
                <w:szCs w:val="20"/>
                <w:shd w:val="clear" w:color="auto" w:fill="FFFFFF"/>
                <w:lang w:eastAsia="lt-LT"/>
              </w:rPr>
            </w:pPr>
            <w:r w:rsidRPr="0075139C">
              <w:rPr>
                <w:rFonts w:ascii="Times New Roman" w:hAnsi="Times New Roman"/>
                <w:iCs/>
                <w:sz w:val="20"/>
                <w:szCs w:val="20"/>
                <w:shd w:val="clear" w:color="auto" w:fill="FFFFFF"/>
                <w:lang w:eastAsia="lt-LT"/>
              </w:rPr>
              <w:t xml:space="preserve">PATVIRTINTA </w:t>
            </w:r>
          </w:p>
          <w:p w14:paraId="419CFC91" w14:textId="33964571" w:rsidR="009D1172" w:rsidRPr="0075139C" w:rsidRDefault="009D1172" w:rsidP="009D1172">
            <w:pPr>
              <w:spacing w:after="0" w:line="240" w:lineRule="auto"/>
              <w:jc w:val="right"/>
              <w:rPr>
                <w:rFonts w:ascii="Times New Roman" w:hAnsi="Times New Roman"/>
                <w:iCs/>
                <w:sz w:val="20"/>
                <w:szCs w:val="20"/>
                <w:shd w:val="clear" w:color="auto" w:fill="FFFFFF"/>
                <w:lang w:eastAsia="lt-LT"/>
              </w:rPr>
            </w:pPr>
            <w:r w:rsidRPr="0075139C">
              <w:rPr>
                <w:rFonts w:ascii="Times New Roman" w:hAnsi="Times New Roman"/>
                <w:iCs/>
                <w:sz w:val="20"/>
                <w:szCs w:val="20"/>
                <w:shd w:val="clear" w:color="auto" w:fill="FFFFFF"/>
                <w:lang w:eastAsia="lt-LT"/>
              </w:rPr>
              <w:t>Pasvalio miesto vietos veiklos grupės</w:t>
            </w:r>
          </w:p>
          <w:p w14:paraId="3E923066" w14:textId="20140949" w:rsidR="009D1172" w:rsidRPr="0075139C" w:rsidRDefault="009D1172" w:rsidP="009D1172">
            <w:pPr>
              <w:spacing w:after="0" w:line="240" w:lineRule="auto"/>
              <w:jc w:val="right"/>
              <w:rPr>
                <w:rFonts w:ascii="Times New Roman" w:hAnsi="Times New Roman"/>
                <w:iCs/>
                <w:sz w:val="20"/>
                <w:szCs w:val="20"/>
                <w:shd w:val="clear" w:color="auto" w:fill="FFFFFF"/>
                <w:lang w:eastAsia="lt-LT"/>
              </w:rPr>
            </w:pPr>
            <w:r w:rsidRPr="0075139C">
              <w:rPr>
                <w:rFonts w:ascii="Times New Roman" w:hAnsi="Times New Roman"/>
                <w:iCs/>
                <w:sz w:val="20"/>
                <w:szCs w:val="20"/>
                <w:shd w:val="clear" w:color="auto" w:fill="FFFFFF"/>
                <w:lang w:eastAsia="lt-LT"/>
              </w:rPr>
              <w:t>202</w:t>
            </w:r>
            <w:r w:rsidR="003051B5" w:rsidRPr="0075139C">
              <w:rPr>
                <w:rFonts w:ascii="Times New Roman" w:hAnsi="Times New Roman"/>
                <w:iCs/>
                <w:sz w:val="20"/>
                <w:szCs w:val="20"/>
                <w:shd w:val="clear" w:color="auto" w:fill="FFFFFF"/>
                <w:lang w:eastAsia="lt-LT"/>
              </w:rPr>
              <w:t>6</w:t>
            </w:r>
            <w:r w:rsidRPr="0075139C">
              <w:rPr>
                <w:rFonts w:ascii="Times New Roman" w:hAnsi="Times New Roman"/>
                <w:iCs/>
                <w:sz w:val="20"/>
                <w:szCs w:val="20"/>
                <w:shd w:val="clear" w:color="auto" w:fill="FFFFFF"/>
                <w:lang w:eastAsia="lt-LT"/>
              </w:rPr>
              <w:t xml:space="preserve"> m. </w:t>
            </w:r>
            <w:r w:rsidR="00AD529F" w:rsidRPr="0075139C">
              <w:rPr>
                <w:rFonts w:ascii="Times New Roman" w:hAnsi="Times New Roman"/>
                <w:iCs/>
                <w:sz w:val="20"/>
                <w:szCs w:val="20"/>
                <w:shd w:val="clear" w:color="auto" w:fill="FFFFFF"/>
                <w:lang w:eastAsia="lt-LT"/>
              </w:rPr>
              <w:t>gegužės</w:t>
            </w:r>
            <w:r w:rsidRPr="0075139C">
              <w:rPr>
                <w:rFonts w:ascii="Times New Roman" w:hAnsi="Times New Roman"/>
                <w:iCs/>
                <w:sz w:val="20"/>
                <w:szCs w:val="20"/>
                <w:shd w:val="clear" w:color="auto" w:fill="FFFFFF"/>
                <w:lang w:eastAsia="lt-LT"/>
              </w:rPr>
              <w:t xml:space="preserve"> </w:t>
            </w:r>
            <w:r w:rsidR="00AD529F" w:rsidRPr="0075139C">
              <w:rPr>
                <w:rFonts w:ascii="Times New Roman" w:hAnsi="Times New Roman"/>
                <w:iCs/>
                <w:sz w:val="20"/>
                <w:szCs w:val="20"/>
                <w:shd w:val="clear" w:color="auto" w:fill="FFFFFF"/>
                <w:lang w:eastAsia="lt-LT"/>
              </w:rPr>
              <w:t>1</w:t>
            </w:r>
            <w:r w:rsidR="003051B5" w:rsidRPr="0075139C">
              <w:rPr>
                <w:rFonts w:ascii="Times New Roman" w:hAnsi="Times New Roman"/>
                <w:iCs/>
                <w:sz w:val="20"/>
                <w:szCs w:val="20"/>
                <w:shd w:val="clear" w:color="auto" w:fill="FFFFFF"/>
                <w:lang w:eastAsia="lt-LT"/>
              </w:rPr>
              <w:t>5</w:t>
            </w:r>
            <w:r w:rsidRPr="0075139C">
              <w:rPr>
                <w:rFonts w:ascii="Times New Roman" w:hAnsi="Times New Roman"/>
                <w:iCs/>
                <w:sz w:val="20"/>
                <w:szCs w:val="20"/>
                <w:shd w:val="clear" w:color="auto" w:fill="FFFFFF"/>
                <w:lang w:eastAsia="lt-LT"/>
              </w:rPr>
              <w:t xml:space="preserve"> d.</w:t>
            </w:r>
          </w:p>
          <w:p w14:paraId="09579E36" w14:textId="2883377B" w:rsidR="009D1172" w:rsidRPr="0075139C" w:rsidRDefault="009D1172" w:rsidP="009D1172">
            <w:pPr>
              <w:spacing w:after="0" w:line="240" w:lineRule="auto"/>
              <w:jc w:val="right"/>
              <w:rPr>
                <w:rFonts w:ascii="Times New Roman" w:hAnsi="Times New Roman"/>
                <w:iCs/>
                <w:sz w:val="20"/>
                <w:szCs w:val="20"/>
                <w:shd w:val="clear" w:color="auto" w:fill="FFFFFF"/>
                <w:lang w:eastAsia="lt-LT"/>
              </w:rPr>
            </w:pPr>
            <w:r w:rsidRPr="0075139C">
              <w:rPr>
                <w:rFonts w:ascii="Times New Roman" w:hAnsi="Times New Roman"/>
                <w:iCs/>
                <w:sz w:val="20"/>
                <w:szCs w:val="20"/>
                <w:shd w:val="clear" w:color="auto" w:fill="FFFFFF"/>
                <w:lang w:eastAsia="lt-LT"/>
              </w:rPr>
              <w:t xml:space="preserve">Valdybos posėdžio protokolu Nr. </w:t>
            </w:r>
            <w:r w:rsidR="00AD529F" w:rsidRPr="0075139C">
              <w:rPr>
                <w:rFonts w:ascii="Times New Roman" w:hAnsi="Times New Roman"/>
                <w:iCs/>
                <w:sz w:val="20"/>
                <w:szCs w:val="20"/>
                <w:shd w:val="clear" w:color="auto" w:fill="FFFFFF"/>
                <w:lang w:eastAsia="lt-LT"/>
              </w:rPr>
              <w:t>4</w:t>
            </w:r>
          </w:p>
          <w:p w14:paraId="554088B5" w14:textId="3B3A19C5" w:rsidR="009A2104" w:rsidRPr="0075139C" w:rsidRDefault="00387842" w:rsidP="00C023A2">
            <w:pPr>
              <w:spacing w:after="0" w:line="240" w:lineRule="auto"/>
              <w:jc w:val="right"/>
              <w:rPr>
                <w:rFonts w:ascii="Times New Roman" w:hAnsi="Times New Roman"/>
                <w:sz w:val="24"/>
                <w:szCs w:val="24"/>
                <w:highlight w:val="lightGray"/>
                <w:shd w:val="clear" w:color="auto" w:fill="FFFFFF"/>
                <w:lang w:eastAsia="lt-LT"/>
              </w:rPr>
            </w:pPr>
            <w:r w:rsidRPr="0075139C">
              <w:rPr>
                <w:rFonts w:ascii="Times New Roman" w:hAnsi="Times New Roman"/>
                <w:noProof/>
                <w:sz w:val="24"/>
                <w:szCs w:val="24"/>
              </w:rPr>
              <w:drawing>
                <wp:anchor distT="0" distB="0" distL="114300" distR="114300" simplePos="0" relativeHeight="251659264" behindDoc="0" locked="0" layoutInCell="1" allowOverlap="1" wp14:anchorId="78B80129" wp14:editId="76D1E8F2">
                  <wp:simplePos x="0" y="0"/>
                  <wp:positionH relativeFrom="column">
                    <wp:posOffset>1769745</wp:posOffset>
                  </wp:positionH>
                  <wp:positionV relativeFrom="paragraph">
                    <wp:posOffset>140970</wp:posOffset>
                  </wp:positionV>
                  <wp:extent cx="2927350" cy="620814"/>
                  <wp:effectExtent l="0" t="0" r="6350" b="825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rotWithShape="1">
                          <a:blip r:embed="rId5">
                            <a:extLst>
                              <a:ext uri="{28A0092B-C50C-407E-A947-70E740481C1C}">
                                <a14:useLocalDpi xmlns:a14="http://schemas.microsoft.com/office/drawing/2010/main" val="0"/>
                              </a:ext>
                            </a:extLst>
                          </a:blip>
                          <a:srcRect t="14552" b="14926"/>
                          <a:stretch/>
                        </pic:blipFill>
                        <pic:spPr bwMode="auto">
                          <a:xfrm>
                            <a:off x="0" y="0"/>
                            <a:ext cx="2927350" cy="6208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139C">
              <w:rPr>
                <w:rFonts w:ascii="Times New Roman" w:hAnsi="Times New Roman"/>
                <w:noProof/>
                <w:sz w:val="24"/>
                <w:szCs w:val="24"/>
              </w:rPr>
              <w:drawing>
                <wp:anchor distT="0" distB="0" distL="114300" distR="114300" simplePos="0" relativeHeight="251661312" behindDoc="0" locked="0" layoutInCell="1" allowOverlap="1" wp14:anchorId="255FF1DF" wp14:editId="4C248D5A">
                  <wp:simplePos x="0" y="0"/>
                  <wp:positionH relativeFrom="column">
                    <wp:posOffset>4779645</wp:posOffset>
                  </wp:positionH>
                  <wp:positionV relativeFrom="paragraph">
                    <wp:posOffset>95250</wp:posOffset>
                  </wp:positionV>
                  <wp:extent cx="2019300" cy="706755"/>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9300" cy="706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56F0BC" w14:textId="261787BB" w:rsidR="00387842" w:rsidRPr="0075139C" w:rsidRDefault="00387842" w:rsidP="00387842">
            <w:pPr>
              <w:spacing w:after="0"/>
              <w:jc w:val="center"/>
              <w:rPr>
                <w:rFonts w:ascii="Times New Roman" w:hAnsi="Times New Roman"/>
                <w:b/>
                <w:sz w:val="24"/>
                <w:szCs w:val="24"/>
              </w:rPr>
            </w:pPr>
          </w:p>
          <w:p w14:paraId="6F888A88" w14:textId="585CBE9D" w:rsidR="00387842" w:rsidRPr="0075139C" w:rsidRDefault="00387842" w:rsidP="009A2104">
            <w:pPr>
              <w:spacing w:after="0"/>
              <w:jc w:val="center"/>
              <w:rPr>
                <w:rFonts w:ascii="Times New Roman" w:hAnsi="Times New Roman"/>
                <w:b/>
                <w:sz w:val="24"/>
                <w:szCs w:val="24"/>
              </w:rPr>
            </w:pPr>
            <w:r w:rsidRPr="0075139C">
              <w:rPr>
                <w:rFonts w:ascii="Times New Roman" w:hAnsi="Times New Roman"/>
                <w:noProof/>
                <w:sz w:val="24"/>
                <w:szCs w:val="24"/>
              </w:rPr>
              <w:t xml:space="preserve"> </w:t>
            </w:r>
          </w:p>
          <w:p w14:paraId="3DB3522E" w14:textId="77777777" w:rsidR="00387842" w:rsidRPr="0075139C" w:rsidRDefault="00387842" w:rsidP="009A2104">
            <w:pPr>
              <w:spacing w:after="0"/>
              <w:jc w:val="center"/>
              <w:rPr>
                <w:rFonts w:ascii="Times New Roman" w:hAnsi="Times New Roman"/>
                <w:b/>
                <w:sz w:val="24"/>
                <w:szCs w:val="24"/>
              </w:rPr>
            </w:pPr>
          </w:p>
          <w:p w14:paraId="60B197D2" w14:textId="77777777" w:rsidR="00716215" w:rsidRPr="0075139C" w:rsidRDefault="00716215" w:rsidP="009A2104">
            <w:pPr>
              <w:spacing w:after="0"/>
              <w:jc w:val="center"/>
              <w:rPr>
                <w:rFonts w:ascii="Times New Roman" w:hAnsi="Times New Roman"/>
                <w:b/>
                <w:sz w:val="24"/>
                <w:szCs w:val="24"/>
              </w:rPr>
            </w:pPr>
          </w:p>
          <w:p w14:paraId="675804A6" w14:textId="0A89BA02" w:rsidR="009A2104" w:rsidRPr="0075139C" w:rsidRDefault="009A2104" w:rsidP="009A2104">
            <w:pPr>
              <w:spacing w:after="0"/>
              <w:jc w:val="center"/>
              <w:rPr>
                <w:rFonts w:ascii="Times New Roman" w:hAnsi="Times New Roman"/>
                <w:b/>
                <w:sz w:val="24"/>
                <w:szCs w:val="24"/>
              </w:rPr>
            </w:pPr>
            <w:r w:rsidRPr="0075139C">
              <w:rPr>
                <w:rFonts w:ascii="Times New Roman" w:hAnsi="Times New Roman"/>
                <w:b/>
                <w:sz w:val="24"/>
                <w:szCs w:val="24"/>
              </w:rPr>
              <w:t>PROJEKTAS FINANSUOJAMAS IŠ EUROPOS REGIONINĖS PLĖTROS FONDO LĖŠŲ</w:t>
            </w:r>
          </w:p>
          <w:p w14:paraId="36B7350A" w14:textId="77777777" w:rsidR="009A2104" w:rsidRPr="0075139C" w:rsidRDefault="009A2104" w:rsidP="00666630">
            <w:pPr>
              <w:spacing w:after="0" w:line="240" w:lineRule="auto"/>
              <w:ind w:right="1029"/>
              <w:rPr>
                <w:rFonts w:ascii="Times New Roman" w:hAnsi="Times New Roman"/>
                <w:sz w:val="24"/>
                <w:szCs w:val="24"/>
                <w:highlight w:val="lightGray"/>
                <w:shd w:val="clear" w:color="auto" w:fill="FFFFFF"/>
                <w:lang w:eastAsia="lt-LT"/>
              </w:rPr>
            </w:pPr>
          </w:p>
        </w:tc>
      </w:tr>
    </w:tbl>
    <w:bookmarkEnd w:id="0"/>
    <w:p w14:paraId="6E65D760" w14:textId="77777777" w:rsidR="00387842" w:rsidRPr="0075139C" w:rsidRDefault="009D1172" w:rsidP="00387842">
      <w:pPr>
        <w:spacing w:after="0"/>
        <w:jc w:val="center"/>
        <w:rPr>
          <w:rFonts w:ascii="Times New Roman" w:hAnsi="Times New Roman"/>
          <w:b/>
          <w:bCs/>
          <w:sz w:val="24"/>
          <w:szCs w:val="24"/>
        </w:rPr>
      </w:pPr>
      <w:r w:rsidRPr="0075139C">
        <w:rPr>
          <w:rFonts w:ascii="Times New Roman" w:hAnsi="Times New Roman"/>
          <w:b/>
          <w:bCs/>
          <w:sz w:val="24"/>
          <w:szCs w:val="24"/>
        </w:rPr>
        <w:t xml:space="preserve">PASVALIO MIESTO VIETOS VEIKLOS GRUPĖS </w:t>
      </w:r>
      <w:r w:rsidR="00387842" w:rsidRPr="0075139C">
        <w:rPr>
          <w:rFonts w:ascii="Times New Roman" w:hAnsi="Times New Roman"/>
          <w:b/>
          <w:bCs/>
          <w:sz w:val="24"/>
          <w:szCs w:val="24"/>
        </w:rPr>
        <w:t>KVIETIMO TEIKTI VIETOS PLĖTROS PROJEKTŲ</w:t>
      </w:r>
    </w:p>
    <w:p w14:paraId="755D0CF3" w14:textId="2C34F19C" w:rsidR="00447033" w:rsidRPr="0075139C" w:rsidRDefault="00387842" w:rsidP="00AE7592">
      <w:pPr>
        <w:spacing w:after="0" w:line="240" w:lineRule="auto"/>
        <w:jc w:val="center"/>
        <w:rPr>
          <w:rFonts w:ascii="Times New Roman" w:hAnsi="Times New Roman"/>
          <w:b/>
          <w:bCs/>
          <w:sz w:val="24"/>
          <w:szCs w:val="24"/>
          <w:shd w:val="clear" w:color="auto" w:fill="FFFFFF"/>
          <w:lang w:eastAsia="lt-LT"/>
        </w:rPr>
      </w:pPr>
      <w:r w:rsidRPr="0075139C">
        <w:rPr>
          <w:rFonts w:ascii="Times New Roman" w:hAnsi="Times New Roman"/>
          <w:b/>
          <w:bCs/>
          <w:sz w:val="24"/>
          <w:szCs w:val="24"/>
        </w:rPr>
        <w:t>ĮGYVENDINIMO PLANUS (PĮP)</w:t>
      </w:r>
      <w:r w:rsidR="009D1172" w:rsidRPr="0075139C">
        <w:rPr>
          <w:rFonts w:ascii="Times New Roman" w:hAnsi="Times New Roman"/>
          <w:b/>
          <w:bCs/>
          <w:sz w:val="24"/>
          <w:szCs w:val="24"/>
        </w:rPr>
        <w:t>,</w:t>
      </w:r>
      <w:r w:rsidRPr="0075139C">
        <w:rPr>
          <w:rFonts w:ascii="Times New Roman" w:hAnsi="Times New Roman"/>
          <w:b/>
          <w:bCs/>
          <w:sz w:val="24"/>
          <w:szCs w:val="24"/>
        </w:rPr>
        <w:t xml:space="preserve"> </w:t>
      </w:r>
      <w:r w:rsidRPr="0075139C">
        <w:rPr>
          <w:rFonts w:ascii="Times New Roman" w:hAnsi="Times New Roman"/>
          <w:b/>
          <w:bCs/>
          <w:sz w:val="24"/>
          <w:szCs w:val="24"/>
          <w:shd w:val="clear" w:color="auto" w:fill="FFFFFF"/>
          <w:lang w:eastAsia="lt-LT"/>
        </w:rPr>
        <w:t>NR. 11-7</w:t>
      </w:r>
      <w:r w:rsidR="003051B5" w:rsidRPr="0075139C">
        <w:rPr>
          <w:rFonts w:ascii="Times New Roman" w:hAnsi="Times New Roman"/>
          <w:b/>
          <w:bCs/>
          <w:sz w:val="24"/>
          <w:szCs w:val="24"/>
          <w:shd w:val="clear" w:color="auto" w:fill="FFFFFF"/>
          <w:lang w:eastAsia="lt-LT"/>
        </w:rPr>
        <w:t>8</w:t>
      </w:r>
      <w:r w:rsidR="00AD529F" w:rsidRPr="0075139C">
        <w:rPr>
          <w:rFonts w:ascii="Times New Roman" w:hAnsi="Times New Roman"/>
          <w:b/>
          <w:bCs/>
          <w:sz w:val="24"/>
          <w:szCs w:val="24"/>
          <w:shd w:val="clear" w:color="auto" w:fill="FFFFFF"/>
          <w:lang w:eastAsia="lt-LT"/>
        </w:rPr>
        <w:t>3</w:t>
      </w:r>
      <w:r w:rsidRPr="0075139C">
        <w:rPr>
          <w:rFonts w:ascii="Times New Roman" w:hAnsi="Times New Roman"/>
          <w:b/>
          <w:bCs/>
          <w:sz w:val="24"/>
          <w:szCs w:val="24"/>
          <w:shd w:val="clear" w:color="auto" w:fill="FFFFFF"/>
          <w:lang w:eastAsia="lt-LT"/>
        </w:rPr>
        <w:t xml:space="preserve">-K </w:t>
      </w:r>
      <w:r w:rsidRPr="0075139C">
        <w:rPr>
          <w:rFonts w:ascii="Times New Roman" w:hAnsi="Times New Roman"/>
          <w:b/>
          <w:sz w:val="24"/>
          <w:szCs w:val="24"/>
        </w:rPr>
        <w:t>„</w:t>
      </w:r>
      <w:r w:rsidRPr="0075139C">
        <w:rPr>
          <w:rFonts w:ascii="Times New Roman" w:eastAsia="Times New Roman" w:hAnsi="Times New Roman"/>
          <w:b/>
          <w:bCs/>
          <w:sz w:val="24"/>
          <w:szCs w:val="24"/>
          <w:lang w:eastAsia="lt-LT"/>
        </w:rPr>
        <w:t>PALAIKYTI SOCIALINIO VERSLO KŪRIMĄSI IR PLĖTRĄ ĮSIGYJANT SOCIALINIAM VERSLUI REIKALINGĄ ĮRANGĄ IR PRADINIUS PRODUKTUS“ VIETOS PLĖTROS PROJEKTŲ</w:t>
      </w:r>
    </w:p>
    <w:p w14:paraId="5DE1FD6F" w14:textId="2603BBE0" w:rsidR="00200509" w:rsidRPr="0075139C" w:rsidRDefault="00447033" w:rsidP="007340C2">
      <w:pPr>
        <w:spacing w:after="0" w:line="240" w:lineRule="auto"/>
        <w:jc w:val="center"/>
        <w:rPr>
          <w:rFonts w:ascii="Times New Roman" w:hAnsi="Times New Roman"/>
          <w:b/>
          <w:caps/>
          <w:sz w:val="24"/>
          <w:szCs w:val="24"/>
        </w:rPr>
      </w:pPr>
      <w:r w:rsidRPr="0075139C">
        <w:rPr>
          <w:rFonts w:ascii="Times New Roman" w:hAnsi="Times New Roman"/>
          <w:b/>
          <w:bCs/>
          <w:caps/>
          <w:sz w:val="24"/>
          <w:szCs w:val="24"/>
        </w:rPr>
        <w:t>Prioritetinių</w:t>
      </w:r>
      <w:r w:rsidRPr="0075139C">
        <w:rPr>
          <w:rFonts w:ascii="Times New Roman" w:hAnsi="Times New Roman"/>
          <w:b/>
          <w:caps/>
          <w:sz w:val="24"/>
          <w:szCs w:val="24"/>
        </w:rPr>
        <w:t xml:space="preserve"> atrankos kriterijų sąrašas</w:t>
      </w:r>
    </w:p>
    <w:p w14:paraId="784B44B5" w14:textId="77777777" w:rsidR="00AE7592" w:rsidRPr="0075139C" w:rsidRDefault="00AE7592" w:rsidP="007340C2">
      <w:pPr>
        <w:spacing w:after="0" w:line="240" w:lineRule="auto"/>
        <w:jc w:val="center"/>
        <w:rPr>
          <w:rFonts w:ascii="Times New Roman" w:eastAsia="Times New Roman" w:hAnsi="Times New Roman"/>
          <w:b/>
          <w:bCs/>
          <w:caps/>
          <w:sz w:val="24"/>
          <w:szCs w:val="24"/>
        </w:rPr>
      </w:pPr>
    </w:p>
    <w:tbl>
      <w:tblPr>
        <w:tblStyle w:val="Lentelstinklelis"/>
        <w:tblW w:w="0" w:type="auto"/>
        <w:tblLook w:val="04A0" w:firstRow="1" w:lastRow="0" w:firstColumn="1" w:lastColumn="0" w:noHBand="0" w:noVBand="1"/>
      </w:tblPr>
      <w:tblGrid>
        <w:gridCol w:w="846"/>
        <w:gridCol w:w="5670"/>
        <w:gridCol w:w="1418"/>
        <w:gridCol w:w="7087"/>
      </w:tblGrid>
      <w:tr w:rsidR="00387842" w:rsidRPr="0075139C" w14:paraId="2C28FF1C" w14:textId="77777777" w:rsidTr="00387842">
        <w:tc>
          <w:tcPr>
            <w:tcW w:w="15021" w:type="dxa"/>
            <w:gridSpan w:val="4"/>
          </w:tcPr>
          <w:p w14:paraId="66983191" w14:textId="77777777" w:rsidR="00387842" w:rsidRPr="0075139C" w:rsidRDefault="00387842" w:rsidP="0009781E">
            <w:pPr>
              <w:spacing w:before="120" w:after="0"/>
              <w:jc w:val="both"/>
              <w:rPr>
                <w:rFonts w:ascii="Times New Roman" w:hAnsi="Times New Roman"/>
                <w:iCs/>
                <w:u w:val="single"/>
              </w:rPr>
            </w:pPr>
            <w:r w:rsidRPr="0075139C">
              <w:rPr>
                <w:rFonts w:ascii="Times New Roman" w:hAnsi="Times New Roman"/>
                <w:iCs/>
                <w:u w:val="single"/>
              </w:rPr>
              <w:t xml:space="preserve">Didžiausia projektui galima skirti balų suma – 100 balų. </w:t>
            </w:r>
          </w:p>
          <w:p w14:paraId="07B80062" w14:textId="77777777" w:rsidR="00387842" w:rsidRPr="0075139C" w:rsidRDefault="00387842" w:rsidP="0009781E">
            <w:pPr>
              <w:spacing w:after="0" w:line="240" w:lineRule="auto"/>
              <w:jc w:val="both"/>
              <w:rPr>
                <w:rFonts w:ascii="Times New Roman" w:hAnsi="Times New Roman"/>
                <w:iCs/>
              </w:rPr>
            </w:pPr>
            <w:r w:rsidRPr="0075139C">
              <w:rPr>
                <w:rFonts w:ascii="Times New Roman" w:hAnsi="Times New Roman"/>
                <w:iCs/>
                <w:u w:val="single"/>
              </w:rPr>
              <w:t>Minimali balų suma – 40 balų.</w:t>
            </w:r>
            <w:r w:rsidRPr="0075139C">
              <w:rPr>
                <w:rFonts w:ascii="Times New Roman" w:hAnsi="Times New Roman"/>
                <w:iCs/>
              </w:rPr>
              <w:t xml:space="preserve"> Projektai, kurie naudos ir kokybės vertinimo etape nesurenka nustatytos minimalios balų sumos, nėra tinkami finansuoti ir PĮP atmetami.</w:t>
            </w:r>
          </w:p>
          <w:p w14:paraId="5951A4B8" w14:textId="61EE237E" w:rsidR="00387842" w:rsidRPr="0075139C" w:rsidRDefault="00387842" w:rsidP="007340C2">
            <w:pPr>
              <w:spacing w:after="0"/>
              <w:jc w:val="both"/>
              <w:rPr>
                <w:rFonts w:ascii="Times New Roman" w:hAnsi="Times New Roman"/>
                <w:i/>
                <w:caps/>
              </w:rPr>
            </w:pPr>
            <w:r w:rsidRPr="0075139C">
              <w:rPr>
                <w:rFonts w:ascii="Times New Roman" w:hAnsi="Times New Roman"/>
                <w:i/>
              </w:rPr>
              <w:t xml:space="preserve">Kai projektams, surinkusiems vienodą galutinį balų skaičių, nepakanka pagal kvietimą teikti PĮP skirtos finansavimo lėšų sumos, pirmenybė teikiama projektams, surinkusiems daugiau balų pagal pirmąjį </w:t>
            </w:r>
            <w:r w:rsidR="008820A4" w:rsidRPr="0075139C">
              <w:rPr>
                <w:rFonts w:ascii="Times New Roman" w:hAnsi="Times New Roman"/>
                <w:i/>
              </w:rPr>
              <w:t>g</w:t>
            </w:r>
            <w:r w:rsidRPr="0075139C">
              <w:rPr>
                <w:rFonts w:ascii="Times New Roman" w:hAnsi="Times New Roman"/>
                <w:i/>
              </w:rPr>
              <w:t>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53282D" w:rsidRPr="0075139C" w14:paraId="0B42E6C1" w14:textId="77777777" w:rsidTr="006478FF">
        <w:tc>
          <w:tcPr>
            <w:tcW w:w="846" w:type="dxa"/>
            <w:shd w:val="clear" w:color="auto" w:fill="D9D9D9" w:themeFill="background1" w:themeFillShade="D9"/>
          </w:tcPr>
          <w:p w14:paraId="533E3EDD" w14:textId="55B14030" w:rsidR="0053282D" w:rsidRPr="0075139C" w:rsidRDefault="0053282D" w:rsidP="00200DFD">
            <w:pPr>
              <w:spacing w:after="0" w:line="240" w:lineRule="auto"/>
              <w:jc w:val="center"/>
              <w:rPr>
                <w:rFonts w:ascii="Times New Roman" w:hAnsi="Times New Roman"/>
                <w:b/>
                <w:bCs/>
                <w:highlight w:val="lightGray"/>
                <w:shd w:val="clear" w:color="auto" w:fill="FFFFFF"/>
              </w:rPr>
            </w:pPr>
            <w:r w:rsidRPr="0075139C">
              <w:rPr>
                <w:rFonts w:ascii="Times New Roman" w:hAnsi="Times New Roman"/>
                <w:b/>
                <w:bCs/>
                <w:highlight w:val="lightGray"/>
                <w:shd w:val="clear" w:color="auto" w:fill="FFFFFF"/>
              </w:rPr>
              <w:t>Nr.</w:t>
            </w:r>
          </w:p>
        </w:tc>
        <w:tc>
          <w:tcPr>
            <w:tcW w:w="5670" w:type="dxa"/>
            <w:shd w:val="clear" w:color="auto" w:fill="D9D9D9" w:themeFill="background1" w:themeFillShade="D9"/>
          </w:tcPr>
          <w:p w14:paraId="15FE902F" w14:textId="1AC21A83" w:rsidR="0053282D" w:rsidRPr="0075139C" w:rsidRDefault="0034691A" w:rsidP="00200DFD">
            <w:pPr>
              <w:spacing w:after="0" w:line="240" w:lineRule="auto"/>
              <w:jc w:val="center"/>
              <w:rPr>
                <w:rFonts w:ascii="Times New Roman" w:hAnsi="Times New Roman"/>
                <w:b/>
                <w:bCs/>
                <w:highlight w:val="lightGray"/>
                <w:shd w:val="clear" w:color="auto" w:fill="FFFFFF"/>
              </w:rPr>
            </w:pPr>
            <w:r w:rsidRPr="0075139C">
              <w:rPr>
                <w:rFonts w:ascii="Times New Roman" w:hAnsi="Times New Roman"/>
                <w:b/>
                <w:bCs/>
                <w:highlight w:val="lightGray"/>
                <w:shd w:val="clear" w:color="auto" w:fill="FFFFFF"/>
              </w:rPr>
              <w:t>Prioritetinis projektų atrankos k</w:t>
            </w:r>
            <w:r w:rsidR="0053282D" w:rsidRPr="0075139C">
              <w:rPr>
                <w:rFonts w:ascii="Times New Roman" w:hAnsi="Times New Roman"/>
                <w:b/>
                <w:bCs/>
                <w:highlight w:val="lightGray"/>
                <w:shd w:val="clear" w:color="auto" w:fill="FFFFFF"/>
              </w:rPr>
              <w:t>riterijus</w:t>
            </w:r>
          </w:p>
        </w:tc>
        <w:tc>
          <w:tcPr>
            <w:tcW w:w="1418" w:type="dxa"/>
            <w:shd w:val="clear" w:color="auto" w:fill="D9D9D9" w:themeFill="background1" w:themeFillShade="D9"/>
          </w:tcPr>
          <w:p w14:paraId="07ECE3A7" w14:textId="0F155BE0" w:rsidR="0053282D" w:rsidRPr="0075139C" w:rsidRDefault="0053282D" w:rsidP="00200DFD">
            <w:pPr>
              <w:spacing w:after="0" w:line="240" w:lineRule="auto"/>
              <w:jc w:val="center"/>
              <w:rPr>
                <w:rFonts w:ascii="Times New Roman" w:hAnsi="Times New Roman"/>
                <w:b/>
                <w:bCs/>
                <w:highlight w:val="lightGray"/>
                <w:shd w:val="clear" w:color="auto" w:fill="FFFFFF"/>
              </w:rPr>
            </w:pPr>
            <w:r w:rsidRPr="0075139C">
              <w:rPr>
                <w:rFonts w:ascii="Times New Roman" w:hAnsi="Times New Roman"/>
                <w:b/>
                <w:bCs/>
                <w:highlight w:val="lightGray"/>
                <w:shd w:val="clear" w:color="auto" w:fill="FFFFFF"/>
              </w:rPr>
              <w:t>Balų skaičius</w:t>
            </w:r>
          </w:p>
        </w:tc>
        <w:tc>
          <w:tcPr>
            <w:tcW w:w="7087" w:type="dxa"/>
            <w:shd w:val="clear" w:color="auto" w:fill="D9D9D9" w:themeFill="background1" w:themeFillShade="D9"/>
          </w:tcPr>
          <w:p w14:paraId="25E63318" w14:textId="7A0D2146" w:rsidR="0053282D" w:rsidRPr="0075139C" w:rsidRDefault="006478FF" w:rsidP="00200DFD">
            <w:pPr>
              <w:spacing w:after="0" w:line="240" w:lineRule="auto"/>
              <w:jc w:val="center"/>
              <w:rPr>
                <w:rFonts w:ascii="Times New Roman" w:hAnsi="Times New Roman"/>
                <w:b/>
                <w:bCs/>
                <w:shd w:val="clear" w:color="auto" w:fill="FFFFFF"/>
              </w:rPr>
            </w:pPr>
            <w:r w:rsidRPr="0075139C">
              <w:rPr>
                <w:rFonts w:ascii="Times New Roman" w:hAnsi="Times New Roman"/>
                <w:b/>
                <w:bCs/>
                <w:highlight w:val="lightGray"/>
              </w:rPr>
              <w:t>Kriterijaus vertinimo aspektai ir p</w:t>
            </w:r>
            <w:r w:rsidR="0053282D" w:rsidRPr="0075139C">
              <w:rPr>
                <w:rFonts w:ascii="Times New Roman" w:hAnsi="Times New Roman"/>
                <w:b/>
                <w:bCs/>
                <w:highlight w:val="lightGray"/>
              </w:rPr>
              <w:t>agrindimas</w:t>
            </w:r>
          </w:p>
        </w:tc>
      </w:tr>
      <w:tr w:rsidR="0067217D" w:rsidRPr="0075139C" w14:paraId="45E36CB7" w14:textId="77777777" w:rsidTr="0053282D">
        <w:tc>
          <w:tcPr>
            <w:tcW w:w="846" w:type="dxa"/>
          </w:tcPr>
          <w:p w14:paraId="3EBB0DF0" w14:textId="39345599" w:rsidR="0067217D" w:rsidRPr="0075139C" w:rsidRDefault="0067217D" w:rsidP="00200DFD">
            <w:pPr>
              <w:spacing w:after="0" w:line="240" w:lineRule="auto"/>
              <w:jc w:val="center"/>
              <w:rPr>
                <w:rFonts w:ascii="Times New Roman" w:hAnsi="Times New Roman"/>
                <w:b/>
                <w:bCs/>
                <w:shd w:val="clear" w:color="auto" w:fill="FFFFFF"/>
              </w:rPr>
            </w:pPr>
            <w:r w:rsidRPr="0075139C">
              <w:rPr>
                <w:rFonts w:ascii="Times New Roman" w:hAnsi="Times New Roman"/>
                <w:b/>
                <w:bCs/>
                <w:shd w:val="clear" w:color="auto" w:fill="FFFFFF"/>
              </w:rPr>
              <w:t>1.</w:t>
            </w:r>
          </w:p>
        </w:tc>
        <w:tc>
          <w:tcPr>
            <w:tcW w:w="5670" w:type="dxa"/>
          </w:tcPr>
          <w:p w14:paraId="2912738D" w14:textId="0BE9CA44" w:rsidR="0067217D" w:rsidRPr="0075139C" w:rsidRDefault="000A74A2" w:rsidP="00AE7592">
            <w:pPr>
              <w:spacing w:after="0" w:line="240" w:lineRule="auto"/>
              <w:jc w:val="both"/>
              <w:rPr>
                <w:rFonts w:ascii="Times New Roman" w:hAnsi="Times New Roman"/>
                <w:shd w:val="clear" w:color="auto" w:fill="FFFFFF"/>
              </w:rPr>
            </w:pPr>
            <w:r w:rsidRPr="0075139C">
              <w:rPr>
                <w:rFonts w:ascii="Times New Roman" w:hAnsi="Times New Roman"/>
                <w:b/>
                <w:bCs/>
              </w:rPr>
              <w:t>Kuriant darbo vietas bus tiesiogiai prisidedama ir prie kitų MVVG strategijoje nurodytų problemų sprendimo</w:t>
            </w:r>
            <w:r w:rsidR="00AE7592" w:rsidRPr="0075139C">
              <w:rPr>
                <w:rFonts w:ascii="Times New Roman" w:hAnsi="Times New Roman"/>
                <w:b/>
                <w:bCs/>
              </w:rPr>
              <w:t xml:space="preserve"> </w:t>
            </w:r>
            <w:r w:rsidRPr="0075139C">
              <w:rPr>
                <w:rFonts w:ascii="Times New Roman" w:hAnsi="Times New Roman"/>
                <w:i/>
                <w:iCs/>
              </w:rPr>
              <w:t>( t. y. vykdant socialinio verslo projektus ir kuriant darbo vietas, bus prisidedama ne tik prie verslumo skatinimo ir/ar užimtumo didinimo, bet taip pat sprendžiamos ir kitos Pasvalio miesto VVG strategijoje iškeltos problemos – socialinių paslaugų teikimas, vyresnio amžiaus asmenų įtrauktis ir pan.)</w:t>
            </w:r>
            <w:r w:rsidR="00AE7592" w:rsidRPr="0075139C">
              <w:rPr>
                <w:rFonts w:ascii="Times New Roman" w:hAnsi="Times New Roman"/>
                <w:i/>
                <w:iCs/>
              </w:rPr>
              <w:t>:</w:t>
            </w:r>
          </w:p>
        </w:tc>
        <w:tc>
          <w:tcPr>
            <w:tcW w:w="1418" w:type="dxa"/>
          </w:tcPr>
          <w:p w14:paraId="28FF002C" w14:textId="7CA1FA5E" w:rsidR="0067217D" w:rsidRPr="0075139C" w:rsidRDefault="0067217D" w:rsidP="00200DFD">
            <w:pPr>
              <w:spacing w:after="0" w:line="240" w:lineRule="auto"/>
              <w:jc w:val="center"/>
              <w:rPr>
                <w:rFonts w:ascii="Times New Roman" w:hAnsi="Times New Roman"/>
                <w:b/>
                <w:bCs/>
                <w:shd w:val="clear" w:color="auto" w:fill="FFFFFF"/>
              </w:rPr>
            </w:pPr>
            <w:r w:rsidRPr="0075139C">
              <w:rPr>
                <w:rFonts w:ascii="Times New Roman" w:hAnsi="Times New Roman"/>
                <w:b/>
                <w:bCs/>
                <w:shd w:val="clear" w:color="auto" w:fill="FFFFFF"/>
              </w:rPr>
              <w:t>20</w:t>
            </w:r>
          </w:p>
        </w:tc>
        <w:tc>
          <w:tcPr>
            <w:tcW w:w="7087" w:type="dxa"/>
            <w:vMerge w:val="restart"/>
          </w:tcPr>
          <w:p w14:paraId="58B12F50" w14:textId="5478C1AA" w:rsidR="0067217D" w:rsidRPr="0075139C" w:rsidRDefault="000A74A2" w:rsidP="00125C10">
            <w:pPr>
              <w:spacing w:after="0" w:line="240" w:lineRule="auto"/>
              <w:jc w:val="both"/>
              <w:rPr>
                <w:rFonts w:ascii="Times New Roman" w:hAnsi="Times New Roman"/>
                <w:i/>
                <w:iCs/>
              </w:rPr>
            </w:pPr>
            <w:r w:rsidRPr="0075139C">
              <w:rPr>
                <w:rFonts w:ascii="Times New Roman" w:hAnsi="Times New Roman"/>
                <w:i/>
                <w:iCs/>
              </w:rPr>
              <w:t>Pareiškėjas turi aiškiai nurodyti ir aprašyti, kokia problema/-</w:t>
            </w:r>
            <w:proofErr w:type="spellStart"/>
            <w:r w:rsidRPr="0075139C">
              <w:rPr>
                <w:rFonts w:ascii="Times New Roman" w:hAnsi="Times New Roman"/>
                <w:i/>
                <w:iCs/>
              </w:rPr>
              <w:t>os</w:t>
            </w:r>
            <w:proofErr w:type="spellEnd"/>
            <w:r w:rsidRPr="0075139C">
              <w:rPr>
                <w:rFonts w:ascii="Times New Roman" w:hAnsi="Times New Roman"/>
                <w:i/>
                <w:iCs/>
              </w:rPr>
              <w:t xml:space="preserve"> be verslumo skatinimo ir/ar užimtumo didinimo būtų sprendžiamos, ir trumpai aprašyti, kaip Strategijoje iškeltas problemas projektas spręs.</w:t>
            </w:r>
          </w:p>
          <w:p w14:paraId="28CC9D71" w14:textId="5A9A223B" w:rsidR="0067217D" w:rsidRPr="0075139C" w:rsidRDefault="00C52F03" w:rsidP="00125C10">
            <w:pPr>
              <w:spacing w:after="0" w:line="240" w:lineRule="auto"/>
              <w:jc w:val="both"/>
              <w:rPr>
                <w:rFonts w:ascii="Times New Roman" w:hAnsi="Times New Roman"/>
                <w:i/>
                <w:iCs/>
              </w:rPr>
            </w:pPr>
            <w:r w:rsidRPr="0075139C">
              <w:rPr>
                <w:rFonts w:ascii="Times New Roman" w:hAnsi="Times New Roman"/>
                <w:i/>
                <w:iCs/>
                <w:color w:val="000000"/>
                <w:szCs w:val="24"/>
              </w:rPr>
              <w:t>Kriterijus vertinamas PĮP pateikimo dienai.</w:t>
            </w:r>
          </w:p>
          <w:p w14:paraId="1ADF5969" w14:textId="77777777" w:rsidR="0067217D" w:rsidRPr="0075139C" w:rsidRDefault="0067217D" w:rsidP="00125C10">
            <w:pPr>
              <w:spacing w:after="0" w:line="240" w:lineRule="auto"/>
              <w:jc w:val="both"/>
              <w:rPr>
                <w:rFonts w:ascii="Times New Roman" w:hAnsi="Times New Roman"/>
                <w:i/>
                <w:iCs/>
              </w:rPr>
            </w:pPr>
          </w:p>
          <w:p w14:paraId="59B668E8" w14:textId="4CC0C8AC" w:rsidR="0067217D" w:rsidRPr="0075139C" w:rsidRDefault="0067217D" w:rsidP="00125C10">
            <w:pPr>
              <w:spacing w:after="0" w:line="240" w:lineRule="auto"/>
              <w:jc w:val="both"/>
              <w:rPr>
                <w:rFonts w:ascii="Times New Roman" w:hAnsi="Times New Roman"/>
                <w:i/>
                <w:iCs/>
              </w:rPr>
            </w:pPr>
          </w:p>
        </w:tc>
      </w:tr>
      <w:tr w:rsidR="000A74A2" w:rsidRPr="0075139C" w14:paraId="231FD81D" w14:textId="77777777" w:rsidTr="001E2956">
        <w:tc>
          <w:tcPr>
            <w:tcW w:w="846" w:type="dxa"/>
          </w:tcPr>
          <w:p w14:paraId="762C2D4F" w14:textId="35DB381D"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1.1.</w:t>
            </w:r>
          </w:p>
        </w:tc>
        <w:tc>
          <w:tcPr>
            <w:tcW w:w="5670" w:type="dxa"/>
          </w:tcPr>
          <w:p w14:paraId="17D32E68" w14:textId="6DE65B32" w:rsidR="000A74A2" w:rsidRPr="0075139C" w:rsidRDefault="00AE7592" w:rsidP="000A74A2">
            <w:pPr>
              <w:spacing w:after="0" w:line="240" w:lineRule="auto"/>
              <w:ind w:firstLine="600"/>
              <w:jc w:val="right"/>
              <w:rPr>
                <w:rFonts w:ascii="Times New Roman" w:hAnsi="Times New Roman"/>
                <w:shd w:val="clear" w:color="auto" w:fill="FFFFFF"/>
              </w:rPr>
            </w:pPr>
            <w:r w:rsidRPr="0075139C">
              <w:rPr>
                <w:rFonts w:ascii="Times New Roman" w:hAnsi="Times New Roman"/>
              </w:rPr>
              <w:t>p</w:t>
            </w:r>
            <w:r w:rsidR="000A74A2" w:rsidRPr="0075139C">
              <w:rPr>
                <w:rFonts w:ascii="Times New Roman" w:hAnsi="Times New Roman"/>
              </w:rPr>
              <w:t>rie kitų Pasvalio miesto</w:t>
            </w:r>
            <w:r w:rsidR="000A74A2" w:rsidRPr="0075139C">
              <w:rPr>
                <w:rFonts w:ascii="Times New Roman" w:hAnsi="Times New Roman"/>
                <w:i/>
                <w:iCs/>
              </w:rPr>
              <w:t xml:space="preserve"> </w:t>
            </w:r>
            <w:r w:rsidR="000A74A2" w:rsidRPr="0075139C">
              <w:rPr>
                <w:rFonts w:ascii="Times New Roman" w:hAnsi="Times New Roman"/>
              </w:rPr>
              <w:t>VVG strategijoje nurodytų problemų sprendimo neprisidedama</w:t>
            </w:r>
          </w:p>
        </w:tc>
        <w:tc>
          <w:tcPr>
            <w:tcW w:w="1418" w:type="dxa"/>
          </w:tcPr>
          <w:p w14:paraId="17DE4E4E" w14:textId="368548D5"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0</w:t>
            </w:r>
          </w:p>
        </w:tc>
        <w:tc>
          <w:tcPr>
            <w:tcW w:w="7087" w:type="dxa"/>
            <w:vMerge/>
          </w:tcPr>
          <w:p w14:paraId="466EC8F2" w14:textId="2A1F7BA9" w:rsidR="000A74A2" w:rsidRPr="0075139C" w:rsidRDefault="000A74A2" w:rsidP="000A74A2">
            <w:pPr>
              <w:spacing w:after="0" w:line="240" w:lineRule="auto"/>
              <w:jc w:val="both"/>
              <w:rPr>
                <w:rFonts w:ascii="Times New Roman" w:hAnsi="Times New Roman"/>
                <w:i/>
                <w:iCs/>
                <w:shd w:val="clear" w:color="auto" w:fill="FFFFFF"/>
              </w:rPr>
            </w:pPr>
          </w:p>
        </w:tc>
      </w:tr>
      <w:tr w:rsidR="000A74A2" w:rsidRPr="0075139C" w14:paraId="16CFD685" w14:textId="77777777" w:rsidTr="001E2956">
        <w:tc>
          <w:tcPr>
            <w:tcW w:w="846" w:type="dxa"/>
          </w:tcPr>
          <w:p w14:paraId="606636A4" w14:textId="47ED9A1E"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1.2.</w:t>
            </w:r>
          </w:p>
        </w:tc>
        <w:tc>
          <w:tcPr>
            <w:tcW w:w="5670" w:type="dxa"/>
          </w:tcPr>
          <w:p w14:paraId="4C4B2C9C" w14:textId="3C8C5E0D" w:rsidR="000A74A2" w:rsidRPr="0075139C" w:rsidRDefault="00AE7592" w:rsidP="000A74A2">
            <w:pPr>
              <w:spacing w:after="0" w:line="240" w:lineRule="auto"/>
              <w:ind w:firstLine="600"/>
              <w:jc w:val="right"/>
              <w:rPr>
                <w:rFonts w:ascii="Times New Roman" w:hAnsi="Times New Roman"/>
              </w:rPr>
            </w:pPr>
            <w:r w:rsidRPr="0075139C">
              <w:rPr>
                <w:rFonts w:ascii="Times New Roman" w:hAnsi="Times New Roman"/>
              </w:rPr>
              <w:t>p</w:t>
            </w:r>
            <w:r w:rsidR="000A74A2" w:rsidRPr="0075139C">
              <w:rPr>
                <w:rFonts w:ascii="Times New Roman" w:hAnsi="Times New Roman"/>
              </w:rPr>
              <w:t>risidedama prie dar bent vienos Pasvalio miesto</w:t>
            </w:r>
            <w:r w:rsidR="000A74A2" w:rsidRPr="0075139C">
              <w:rPr>
                <w:rFonts w:ascii="Times New Roman" w:hAnsi="Times New Roman"/>
                <w:i/>
                <w:iCs/>
              </w:rPr>
              <w:t xml:space="preserve"> </w:t>
            </w:r>
            <w:r w:rsidR="000A74A2" w:rsidRPr="0075139C">
              <w:rPr>
                <w:rFonts w:ascii="Times New Roman" w:hAnsi="Times New Roman"/>
              </w:rPr>
              <w:t>VVG strategijoje nurodytos problemos sprendimo</w:t>
            </w:r>
          </w:p>
        </w:tc>
        <w:tc>
          <w:tcPr>
            <w:tcW w:w="1418" w:type="dxa"/>
          </w:tcPr>
          <w:p w14:paraId="7AFB4040" w14:textId="37AA7219"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10</w:t>
            </w:r>
          </w:p>
        </w:tc>
        <w:tc>
          <w:tcPr>
            <w:tcW w:w="7087" w:type="dxa"/>
            <w:vMerge/>
          </w:tcPr>
          <w:p w14:paraId="13DCC074" w14:textId="77777777" w:rsidR="000A74A2" w:rsidRPr="0075139C" w:rsidRDefault="000A74A2" w:rsidP="000A74A2">
            <w:pPr>
              <w:spacing w:after="0" w:line="240" w:lineRule="auto"/>
              <w:jc w:val="both"/>
              <w:rPr>
                <w:rFonts w:ascii="Times New Roman" w:hAnsi="Times New Roman"/>
                <w:i/>
                <w:iCs/>
                <w:shd w:val="clear" w:color="auto" w:fill="FFFFFF"/>
              </w:rPr>
            </w:pPr>
          </w:p>
        </w:tc>
      </w:tr>
      <w:tr w:rsidR="000A74A2" w:rsidRPr="0075139C" w14:paraId="583482F0" w14:textId="77777777" w:rsidTr="001E2956">
        <w:tc>
          <w:tcPr>
            <w:tcW w:w="846" w:type="dxa"/>
          </w:tcPr>
          <w:p w14:paraId="1AF778FE" w14:textId="50D3E328"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1.3.</w:t>
            </w:r>
          </w:p>
        </w:tc>
        <w:tc>
          <w:tcPr>
            <w:tcW w:w="5670" w:type="dxa"/>
          </w:tcPr>
          <w:p w14:paraId="22E95A41" w14:textId="6E49BCC9" w:rsidR="000A74A2" w:rsidRPr="0075139C" w:rsidRDefault="00AE7592" w:rsidP="000A74A2">
            <w:pPr>
              <w:spacing w:after="0" w:line="240" w:lineRule="auto"/>
              <w:ind w:firstLine="600"/>
              <w:jc w:val="right"/>
              <w:rPr>
                <w:rFonts w:ascii="Times New Roman" w:hAnsi="Times New Roman"/>
                <w:shd w:val="clear" w:color="auto" w:fill="FFFFFF"/>
              </w:rPr>
            </w:pPr>
            <w:r w:rsidRPr="0075139C">
              <w:rPr>
                <w:rFonts w:ascii="Times New Roman" w:hAnsi="Times New Roman"/>
              </w:rPr>
              <w:t>p</w:t>
            </w:r>
            <w:r w:rsidR="000A74A2" w:rsidRPr="0075139C">
              <w:rPr>
                <w:rFonts w:ascii="Times New Roman" w:hAnsi="Times New Roman"/>
              </w:rPr>
              <w:t>risidedama prie dar bent dviejų (ar daugiau) Pasvalio miesto</w:t>
            </w:r>
            <w:r w:rsidR="000A74A2" w:rsidRPr="0075139C">
              <w:rPr>
                <w:rFonts w:ascii="Times New Roman" w:hAnsi="Times New Roman"/>
                <w:i/>
                <w:iCs/>
              </w:rPr>
              <w:t xml:space="preserve"> </w:t>
            </w:r>
            <w:r w:rsidR="000A74A2" w:rsidRPr="0075139C">
              <w:rPr>
                <w:rFonts w:ascii="Times New Roman" w:hAnsi="Times New Roman"/>
              </w:rPr>
              <w:t>VVG strategijoje nurodytų problemų sprendimo</w:t>
            </w:r>
          </w:p>
        </w:tc>
        <w:tc>
          <w:tcPr>
            <w:tcW w:w="1418" w:type="dxa"/>
          </w:tcPr>
          <w:p w14:paraId="1E8A10D0" w14:textId="76496F9B"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20</w:t>
            </w:r>
          </w:p>
        </w:tc>
        <w:tc>
          <w:tcPr>
            <w:tcW w:w="7087" w:type="dxa"/>
            <w:vMerge/>
          </w:tcPr>
          <w:p w14:paraId="31B3C25F" w14:textId="41E11443" w:rsidR="000A74A2" w:rsidRPr="0075139C" w:rsidRDefault="000A74A2" w:rsidP="000A74A2">
            <w:pPr>
              <w:spacing w:after="0" w:line="240" w:lineRule="auto"/>
              <w:jc w:val="both"/>
              <w:rPr>
                <w:rFonts w:ascii="Times New Roman" w:hAnsi="Times New Roman"/>
                <w:i/>
                <w:iCs/>
                <w:shd w:val="clear" w:color="auto" w:fill="FFFFFF"/>
              </w:rPr>
            </w:pPr>
          </w:p>
        </w:tc>
      </w:tr>
      <w:tr w:rsidR="00B716CA" w:rsidRPr="0075139C" w14:paraId="2BC42C12" w14:textId="77777777" w:rsidTr="00A4703B">
        <w:tc>
          <w:tcPr>
            <w:tcW w:w="846" w:type="dxa"/>
          </w:tcPr>
          <w:p w14:paraId="5A5BE1FE" w14:textId="439E87D3" w:rsidR="00B716CA" w:rsidRPr="0075139C" w:rsidRDefault="00B716CA" w:rsidP="00A4703B">
            <w:pPr>
              <w:spacing w:after="0" w:line="240" w:lineRule="auto"/>
              <w:jc w:val="center"/>
              <w:rPr>
                <w:rFonts w:ascii="Times New Roman" w:hAnsi="Times New Roman"/>
                <w:b/>
                <w:bCs/>
                <w:shd w:val="clear" w:color="auto" w:fill="FFFFFF"/>
              </w:rPr>
            </w:pPr>
            <w:r w:rsidRPr="0075139C">
              <w:rPr>
                <w:rFonts w:ascii="Times New Roman" w:hAnsi="Times New Roman"/>
                <w:b/>
                <w:bCs/>
                <w:shd w:val="clear" w:color="auto" w:fill="FFFFFF"/>
              </w:rPr>
              <w:lastRenderedPageBreak/>
              <w:t>2.</w:t>
            </w:r>
          </w:p>
        </w:tc>
        <w:tc>
          <w:tcPr>
            <w:tcW w:w="5670" w:type="dxa"/>
            <w:tcBorders>
              <w:top w:val="single" w:sz="6" w:space="0" w:color="000000"/>
              <w:left w:val="single" w:sz="6" w:space="0" w:color="000000"/>
              <w:bottom w:val="single" w:sz="6" w:space="0" w:color="000000"/>
              <w:right w:val="single" w:sz="6" w:space="0" w:color="000000"/>
            </w:tcBorders>
          </w:tcPr>
          <w:p w14:paraId="11F9B4C1" w14:textId="6DE147A7" w:rsidR="00B716CA" w:rsidRPr="0075139C" w:rsidRDefault="00B716CA" w:rsidP="00125C10">
            <w:pPr>
              <w:tabs>
                <w:tab w:val="left" w:pos="855"/>
              </w:tabs>
              <w:spacing w:after="0" w:line="240" w:lineRule="auto"/>
              <w:jc w:val="both"/>
              <w:rPr>
                <w:rFonts w:ascii="Times New Roman" w:hAnsi="Times New Roman"/>
                <w:b/>
                <w:bCs/>
                <w:shd w:val="clear" w:color="auto" w:fill="FFFFFF"/>
              </w:rPr>
            </w:pPr>
            <w:r w:rsidRPr="0075139C">
              <w:rPr>
                <w:rFonts w:ascii="Times New Roman" w:hAnsi="Times New Roman"/>
                <w:b/>
                <w:bCs/>
                <w:color w:val="000000"/>
              </w:rPr>
              <w:t xml:space="preserve">Darbo vietai sukurti prašoma tiesioginių projekto išlaidų paramos suma ne </w:t>
            </w:r>
            <w:r w:rsidR="00217CAC" w:rsidRPr="0075139C">
              <w:rPr>
                <w:rFonts w:ascii="Times New Roman" w:hAnsi="Times New Roman"/>
                <w:b/>
                <w:bCs/>
                <w:color w:val="000000"/>
              </w:rPr>
              <w:t>didesnė</w:t>
            </w:r>
            <w:r w:rsidRPr="0075139C">
              <w:rPr>
                <w:rFonts w:ascii="Times New Roman" w:hAnsi="Times New Roman"/>
                <w:b/>
                <w:bCs/>
                <w:color w:val="000000"/>
              </w:rPr>
              <w:t xml:space="preserve"> kaip </w:t>
            </w:r>
            <w:r w:rsidRPr="0075139C">
              <w:rPr>
                <w:rFonts w:ascii="Times New Roman" w:hAnsi="Times New Roman"/>
                <w:b/>
                <w:bCs/>
              </w:rPr>
              <w:t xml:space="preserve">70 652,10 </w:t>
            </w:r>
            <w:r w:rsidRPr="0075139C">
              <w:rPr>
                <w:rFonts w:ascii="Times New Roman" w:hAnsi="Times New Roman"/>
                <w:b/>
                <w:bCs/>
                <w:color w:val="000000"/>
              </w:rPr>
              <w:t xml:space="preserve">(septyniasdešimt </w:t>
            </w:r>
            <w:r w:rsidR="00ED632A" w:rsidRPr="0075139C">
              <w:rPr>
                <w:rFonts w:ascii="Times New Roman" w:hAnsi="Times New Roman"/>
                <w:b/>
                <w:bCs/>
                <w:color w:val="000000"/>
              </w:rPr>
              <w:t>tūkstančių šeši šimtai penkiasdešimt du eurai ir dešimt centų</w:t>
            </w:r>
            <w:r w:rsidRPr="0075139C">
              <w:rPr>
                <w:rFonts w:ascii="Times New Roman" w:hAnsi="Times New Roman"/>
                <w:b/>
                <w:bCs/>
                <w:color w:val="000000"/>
              </w:rPr>
              <w:t>) eurai</w:t>
            </w:r>
            <w:r w:rsidR="0011510A" w:rsidRPr="0075139C">
              <w:rPr>
                <w:rFonts w:ascii="Times New Roman" w:hAnsi="Times New Roman"/>
                <w:b/>
                <w:bCs/>
                <w:color w:val="000000"/>
              </w:rPr>
              <w:t>.</w:t>
            </w:r>
          </w:p>
        </w:tc>
        <w:tc>
          <w:tcPr>
            <w:tcW w:w="1418" w:type="dxa"/>
          </w:tcPr>
          <w:p w14:paraId="3397FDAC" w14:textId="77777777" w:rsidR="00B716CA" w:rsidRPr="0075139C" w:rsidRDefault="00B716CA" w:rsidP="00A4703B">
            <w:pPr>
              <w:spacing w:after="0" w:line="240" w:lineRule="auto"/>
              <w:jc w:val="center"/>
              <w:rPr>
                <w:rFonts w:ascii="Times New Roman" w:hAnsi="Times New Roman"/>
                <w:b/>
                <w:bCs/>
                <w:shd w:val="clear" w:color="auto" w:fill="FFFFFF"/>
              </w:rPr>
            </w:pPr>
            <w:r w:rsidRPr="0075139C">
              <w:rPr>
                <w:rFonts w:ascii="Times New Roman" w:hAnsi="Times New Roman"/>
                <w:b/>
                <w:bCs/>
                <w:shd w:val="clear" w:color="auto" w:fill="FFFFFF"/>
              </w:rPr>
              <w:t>20</w:t>
            </w:r>
          </w:p>
        </w:tc>
        <w:tc>
          <w:tcPr>
            <w:tcW w:w="7087" w:type="dxa"/>
          </w:tcPr>
          <w:p w14:paraId="68EB73BE" w14:textId="15E89AD6" w:rsidR="00B716CA" w:rsidRPr="0075139C" w:rsidRDefault="00B716CA" w:rsidP="00B71A0C">
            <w:pPr>
              <w:spacing w:after="0" w:line="240" w:lineRule="auto"/>
              <w:jc w:val="both"/>
              <w:rPr>
                <w:rFonts w:ascii="Times New Roman" w:hAnsi="Times New Roman"/>
                <w:i/>
                <w:iCs/>
                <w:shd w:val="clear" w:color="auto" w:fill="FFFFFF"/>
              </w:rPr>
            </w:pPr>
            <w:r w:rsidRPr="0075139C">
              <w:rPr>
                <w:rFonts w:ascii="Times New Roman" w:hAnsi="Times New Roman"/>
                <w:i/>
                <w:iCs/>
              </w:rPr>
              <w:t>Šis atrankos kriterijus vertinamas pagal PĮP nurodytą tinkam</w:t>
            </w:r>
            <w:r w:rsidR="0011510A" w:rsidRPr="0075139C">
              <w:rPr>
                <w:rFonts w:ascii="Times New Roman" w:hAnsi="Times New Roman"/>
                <w:i/>
                <w:iCs/>
              </w:rPr>
              <w:t>ą</w:t>
            </w:r>
            <w:r w:rsidRPr="0075139C">
              <w:rPr>
                <w:rFonts w:ascii="Times New Roman" w:hAnsi="Times New Roman"/>
                <w:i/>
                <w:iCs/>
              </w:rPr>
              <w:t xml:space="preserve"> finansuoti tiesioginių paramos išlaidų sumą. </w:t>
            </w:r>
            <w:r w:rsidR="00F162D7" w:rsidRPr="0075139C">
              <w:rPr>
                <w:rFonts w:ascii="Times New Roman" w:hAnsi="Times New Roman"/>
                <w:i/>
                <w:iCs/>
              </w:rPr>
              <w:t>Vienai dar</w:t>
            </w:r>
            <w:r w:rsidR="00217CAC" w:rsidRPr="0075139C">
              <w:rPr>
                <w:rFonts w:ascii="Times New Roman" w:hAnsi="Times New Roman"/>
                <w:i/>
                <w:iCs/>
              </w:rPr>
              <w:t>b</w:t>
            </w:r>
            <w:r w:rsidR="00F162D7" w:rsidRPr="0075139C">
              <w:rPr>
                <w:rFonts w:ascii="Times New Roman" w:hAnsi="Times New Roman"/>
                <w:i/>
                <w:iCs/>
              </w:rPr>
              <w:t>o vietai (1 etat</w:t>
            </w:r>
            <w:r w:rsidR="00217CAC" w:rsidRPr="0075139C">
              <w:rPr>
                <w:rFonts w:ascii="Times New Roman" w:hAnsi="Times New Roman"/>
                <w:i/>
                <w:iCs/>
              </w:rPr>
              <w:t>ui</w:t>
            </w:r>
            <w:r w:rsidR="00F162D7" w:rsidRPr="0075139C">
              <w:rPr>
                <w:rFonts w:ascii="Times New Roman" w:hAnsi="Times New Roman"/>
                <w:i/>
                <w:iCs/>
              </w:rPr>
              <w:t>) ne daugiau 70 652,10 eurų</w:t>
            </w:r>
            <w:r w:rsidR="003104FD" w:rsidRPr="0075139C">
              <w:rPr>
                <w:rFonts w:ascii="Times New Roman" w:hAnsi="Times New Roman"/>
                <w:i/>
                <w:iCs/>
              </w:rPr>
              <w:t>.</w:t>
            </w:r>
            <w:r w:rsidR="00F162D7" w:rsidRPr="0075139C">
              <w:rPr>
                <w:rFonts w:ascii="Times New Roman" w:hAnsi="Times New Roman"/>
                <w:i/>
                <w:iCs/>
              </w:rPr>
              <w:t xml:space="preserve"> </w:t>
            </w:r>
            <w:r w:rsidR="003104FD" w:rsidRPr="0075139C">
              <w:rPr>
                <w:rFonts w:ascii="Times New Roman" w:hAnsi="Times New Roman"/>
                <w:i/>
                <w:iCs/>
              </w:rPr>
              <w:t>A</w:t>
            </w:r>
            <w:r w:rsidR="00F162D7" w:rsidRPr="0075139C">
              <w:rPr>
                <w:rFonts w:ascii="Times New Roman" w:hAnsi="Times New Roman"/>
                <w:i/>
                <w:iCs/>
              </w:rPr>
              <w:t xml:space="preserve">titinkamai </w:t>
            </w:r>
            <w:r w:rsidR="003104FD" w:rsidRPr="0075139C">
              <w:rPr>
                <w:rFonts w:ascii="Times New Roman" w:hAnsi="Times New Roman"/>
                <w:i/>
                <w:iCs/>
              </w:rPr>
              <w:t xml:space="preserve">taikomas </w:t>
            </w:r>
            <w:r w:rsidR="003104FD" w:rsidRPr="0075139C">
              <w:rPr>
                <w:rFonts w:ascii="Times New Roman" w:hAnsi="Times New Roman"/>
                <w:b/>
                <w:bCs/>
                <w:i/>
                <w:iCs/>
              </w:rPr>
              <w:t xml:space="preserve">Pro </w:t>
            </w:r>
            <w:proofErr w:type="spellStart"/>
            <w:r w:rsidR="003104FD" w:rsidRPr="0075139C">
              <w:rPr>
                <w:rFonts w:ascii="Times New Roman" w:hAnsi="Times New Roman"/>
                <w:b/>
                <w:bCs/>
                <w:i/>
                <w:iCs/>
              </w:rPr>
              <w:t>rata</w:t>
            </w:r>
            <w:proofErr w:type="spellEnd"/>
            <w:r w:rsidR="003104FD" w:rsidRPr="0075139C">
              <w:rPr>
                <w:rFonts w:ascii="Times New Roman" w:hAnsi="Times New Roman"/>
                <w:b/>
                <w:bCs/>
                <w:i/>
                <w:iCs/>
              </w:rPr>
              <w:t xml:space="preserve"> principas</w:t>
            </w:r>
            <w:r w:rsidR="0011510A" w:rsidRPr="0075139C">
              <w:rPr>
                <w:rFonts w:ascii="Times New Roman" w:hAnsi="Times New Roman"/>
                <w:b/>
                <w:bCs/>
                <w:i/>
                <w:iCs/>
              </w:rPr>
              <w:t>,</w:t>
            </w:r>
            <w:r w:rsidR="003104FD" w:rsidRPr="0075139C">
              <w:rPr>
                <w:rFonts w:ascii="Times New Roman" w:hAnsi="Times New Roman"/>
                <w:i/>
                <w:iCs/>
              </w:rPr>
              <w:t xml:space="preserve"> </w:t>
            </w:r>
            <w:r w:rsidR="00F162D7" w:rsidRPr="0075139C">
              <w:rPr>
                <w:rFonts w:ascii="Times New Roman" w:hAnsi="Times New Roman"/>
                <w:i/>
                <w:iCs/>
              </w:rPr>
              <w:t>pvz.: kai planuojama sukurti 0,5 darbo vietos</w:t>
            </w:r>
            <w:r w:rsidR="00217CAC" w:rsidRPr="0075139C">
              <w:rPr>
                <w:rFonts w:ascii="Times New Roman" w:hAnsi="Times New Roman"/>
                <w:i/>
                <w:iCs/>
              </w:rPr>
              <w:t xml:space="preserve"> (etato)</w:t>
            </w:r>
            <w:r w:rsidR="0011510A" w:rsidRPr="0075139C">
              <w:rPr>
                <w:rFonts w:ascii="Times New Roman" w:hAnsi="Times New Roman"/>
                <w:i/>
                <w:iCs/>
              </w:rPr>
              <w:t>,</w:t>
            </w:r>
            <w:r w:rsidR="003104FD" w:rsidRPr="0075139C">
              <w:rPr>
                <w:rFonts w:ascii="Times New Roman" w:hAnsi="Times New Roman"/>
                <w:i/>
                <w:iCs/>
              </w:rPr>
              <w:t xml:space="preserve"> prašoma paramos suma </w:t>
            </w:r>
            <w:r w:rsidR="00217CAC" w:rsidRPr="0075139C">
              <w:rPr>
                <w:rFonts w:ascii="Times New Roman" w:hAnsi="Times New Roman"/>
                <w:i/>
                <w:iCs/>
              </w:rPr>
              <w:t xml:space="preserve">turi būti </w:t>
            </w:r>
            <w:r w:rsidR="003104FD" w:rsidRPr="0075139C">
              <w:rPr>
                <w:rFonts w:ascii="Times New Roman" w:hAnsi="Times New Roman"/>
                <w:i/>
                <w:iCs/>
              </w:rPr>
              <w:t>ne didesnė nei 35 326,05 eurų.</w:t>
            </w:r>
            <w:r w:rsidR="00F162D7" w:rsidRPr="0075139C">
              <w:rPr>
                <w:rFonts w:ascii="Times New Roman" w:hAnsi="Times New Roman"/>
                <w:i/>
                <w:iCs/>
              </w:rPr>
              <w:t xml:space="preserve"> </w:t>
            </w:r>
          </w:p>
        </w:tc>
      </w:tr>
      <w:tr w:rsidR="00B716CA" w:rsidRPr="0075139C" w14:paraId="2DB0058D" w14:textId="77777777" w:rsidTr="00A4703B">
        <w:tc>
          <w:tcPr>
            <w:tcW w:w="846" w:type="dxa"/>
          </w:tcPr>
          <w:p w14:paraId="1D5296CA" w14:textId="6A3FE98C" w:rsidR="00B716CA" w:rsidRPr="0075139C" w:rsidRDefault="00B716CA" w:rsidP="00A4703B">
            <w:pPr>
              <w:spacing w:after="0" w:line="240" w:lineRule="auto"/>
              <w:jc w:val="center"/>
              <w:rPr>
                <w:rFonts w:ascii="Times New Roman" w:hAnsi="Times New Roman"/>
                <w:b/>
                <w:bCs/>
                <w:shd w:val="clear" w:color="auto" w:fill="FFFFFF"/>
              </w:rPr>
            </w:pPr>
            <w:r w:rsidRPr="0075139C">
              <w:rPr>
                <w:rFonts w:ascii="Times New Roman" w:hAnsi="Times New Roman"/>
                <w:b/>
                <w:bCs/>
                <w:shd w:val="clear" w:color="auto" w:fill="FFFFFF"/>
              </w:rPr>
              <w:t>3.</w:t>
            </w:r>
          </w:p>
        </w:tc>
        <w:tc>
          <w:tcPr>
            <w:tcW w:w="5670" w:type="dxa"/>
            <w:tcBorders>
              <w:top w:val="single" w:sz="4" w:space="0" w:color="auto"/>
              <w:left w:val="single" w:sz="4" w:space="0" w:color="auto"/>
              <w:bottom w:val="single" w:sz="4" w:space="0" w:color="auto"/>
              <w:right w:val="single" w:sz="4" w:space="0" w:color="auto"/>
            </w:tcBorders>
          </w:tcPr>
          <w:p w14:paraId="44E1B411" w14:textId="1F34F826" w:rsidR="00B716CA" w:rsidRPr="0075139C" w:rsidRDefault="00B716CA" w:rsidP="00125C10">
            <w:pPr>
              <w:spacing w:after="0" w:line="240" w:lineRule="auto"/>
              <w:jc w:val="both"/>
              <w:rPr>
                <w:rFonts w:ascii="Times New Roman" w:hAnsi="Times New Roman"/>
                <w:i/>
                <w:iCs/>
              </w:rPr>
            </w:pPr>
            <w:r w:rsidRPr="0075139C">
              <w:rPr>
                <w:rFonts w:ascii="Times New Roman" w:hAnsi="Times New Roman"/>
                <w:b/>
                <w:bCs/>
              </w:rPr>
              <w:t>Pareiškėjas</w:t>
            </w:r>
            <w:r w:rsidR="0023013F" w:rsidRPr="0075139C">
              <w:rPr>
                <w:rFonts w:ascii="Times New Roman" w:hAnsi="Times New Roman"/>
                <w:b/>
                <w:bCs/>
              </w:rPr>
              <w:t>,</w:t>
            </w:r>
            <w:r w:rsidRPr="0075139C">
              <w:rPr>
                <w:rFonts w:ascii="Times New Roman" w:hAnsi="Times New Roman"/>
                <w:b/>
                <w:bCs/>
              </w:rPr>
              <w:t xml:space="preserve"> kaip socialinio verslo vykdytojas</w:t>
            </w:r>
            <w:r w:rsidR="0023013F" w:rsidRPr="0075139C">
              <w:rPr>
                <w:rFonts w:ascii="Times New Roman" w:hAnsi="Times New Roman"/>
                <w:b/>
                <w:bCs/>
              </w:rPr>
              <w:t>,</w:t>
            </w:r>
            <w:r w:rsidRPr="0075139C">
              <w:rPr>
                <w:rFonts w:ascii="Times New Roman" w:hAnsi="Times New Roman"/>
                <w:b/>
                <w:bCs/>
              </w:rPr>
              <w:t xml:space="preserve"> skirs didesnį procentą nuo uždirbto pelno jų pasirinktai socialinei problemai spręsti, </w:t>
            </w:r>
            <w:r w:rsidRPr="0075139C">
              <w:rPr>
                <w:rFonts w:ascii="Times New Roman" w:hAnsi="Times New Roman"/>
                <w:i/>
                <w:iCs/>
              </w:rPr>
              <w:t>t. y. prisidės prie Pasvalio miesto pažeidžiamų grupių gerovės, įtraukiant juos į užimtumo</w:t>
            </w:r>
            <w:r w:rsidR="00217CAC" w:rsidRPr="0075139C">
              <w:rPr>
                <w:rFonts w:ascii="Times New Roman" w:hAnsi="Times New Roman"/>
                <w:i/>
                <w:iCs/>
              </w:rPr>
              <w:t xml:space="preserve"> </w:t>
            </w:r>
            <w:r w:rsidRPr="0075139C">
              <w:rPr>
                <w:rFonts w:ascii="Times New Roman" w:hAnsi="Times New Roman"/>
                <w:i/>
                <w:iCs/>
              </w:rPr>
              <w:t>veiklas, socialines iniciatyvas ir pan.</w:t>
            </w:r>
            <w:r w:rsidR="00330792" w:rsidRPr="0075139C">
              <w:rPr>
                <w:rFonts w:ascii="Times New Roman" w:hAnsi="Times New Roman"/>
                <w:i/>
                <w:iCs/>
              </w:rPr>
              <w:t>:</w:t>
            </w:r>
          </w:p>
        </w:tc>
        <w:tc>
          <w:tcPr>
            <w:tcW w:w="1418" w:type="dxa"/>
          </w:tcPr>
          <w:p w14:paraId="21C5C11A" w14:textId="77777777" w:rsidR="00B716CA" w:rsidRPr="0075139C" w:rsidRDefault="00B716CA" w:rsidP="00A4703B">
            <w:pPr>
              <w:spacing w:after="0" w:line="240" w:lineRule="auto"/>
              <w:jc w:val="center"/>
              <w:rPr>
                <w:rFonts w:ascii="Times New Roman" w:hAnsi="Times New Roman"/>
                <w:b/>
                <w:bCs/>
                <w:shd w:val="clear" w:color="auto" w:fill="FFFFFF"/>
              </w:rPr>
            </w:pPr>
            <w:r w:rsidRPr="0075139C">
              <w:rPr>
                <w:rFonts w:ascii="Times New Roman" w:hAnsi="Times New Roman"/>
                <w:b/>
                <w:bCs/>
                <w:shd w:val="clear" w:color="auto" w:fill="FFFFFF"/>
              </w:rPr>
              <w:t>20</w:t>
            </w:r>
          </w:p>
        </w:tc>
        <w:tc>
          <w:tcPr>
            <w:tcW w:w="7087" w:type="dxa"/>
            <w:vMerge w:val="restart"/>
          </w:tcPr>
          <w:p w14:paraId="3A8DBC84" w14:textId="4A4C3AE7" w:rsidR="00B716CA" w:rsidRPr="0075139C" w:rsidRDefault="00B716CA" w:rsidP="00B71A0C">
            <w:pPr>
              <w:spacing w:after="0" w:line="240" w:lineRule="auto"/>
              <w:jc w:val="both"/>
              <w:rPr>
                <w:rFonts w:ascii="Times New Roman" w:hAnsi="Times New Roman"/>
                <w:i/>
                <w:iCs/>
              </w:rPr>
            </w:pPr>
            <w:r w:rsidRPr="0075139C">
              <w:rPr>
                <w:rFonts w:ascii="Times New Roman" w:hAnsi="Times New Roman"/>
                <w:i/>
                <w:iCs/>
              </w:rPr>
              <w:t xml:space="preserve">Projektas atitinka šį prioritetinį projektų atrankos kriterijų, kai </w:t>
            </w:r>
            <w:r w:rsidR="0023013F" w:rsidRPr="0075139C">
              <w:rPr>
                <w:rFonts w:ascii="Times New Roman" w:hAnsi="Times New Roman"/>
                <w:i/>
                <w:iCs/>
              </w:rPr>
              <w:t>p</w:t>
            </w:r>
            <w:r w:rsidRPr="0075139C">
              <w:rPr>
                <w:rFonts w:ascii="Times New Roman" w:hAnsi="Times New Roman"/>
                <w:i/>
                <w:iCs/>
              </w:rPr>
              <w:t>areiškėjas PĮP aiškiai nurodo, kokią uždirbto pelno dalį išreiškiant procentais</w:t>
            </w:r>
            <w:r w:rsidR="0023013F" w:rsidRPr="0075139C">
              <w:rPr>
                <w:rFonts w:ascii="Times New Roman" w:hAnsi="Times New Roman"/>
                <w:i/>
                <w:iCs/>
              </w:rPr>
              <w:t>,</w:t>
            </w:r>
            <w:r w:rsidRPr="0075139C">
              <w:rPr>
                <w:rFonts w:ascii="Times New Roman" w:hAnsi="Times New Roman"/>
                <w:i/>
                <w:iCs/>
              </w:rPr>
              <w:t xml:space="preserve"> skirs pasirinktai</w:t>
            </w:r>
            <w:r w:rsidR="00B67854" w:rsidRPr="0075139C">
              <w:rPr>
                <w:rFonts w:ascii="Times New Roman" w:hAnsi="Times New Roman"/>
                <w:i/>
                <w:iCs/>
              </w:rPr>
              <w:t xml:space="preserve"> (-</w:t>
            </w:r>
            <w:proofErr w:type="spellStart"/>
            <w:r w:rsidR="00B67854" w:rsidRPr="0075139C">
              <w:rPr>
                <w:rFonts w:ascii="Times New Roman" w:hAnsi="Times New Roman"/>
                <w:i/>
                <w:iCs/>
              </w:rPr>
              <w:t>oms</w:t>
            </w:r>
            <w:proofErr w:type="spellEnd"/>
            <w:r w:rsidR="00B67854" w:rsidRPr="0075139C">
              <w:rPr>
                <w:rFonts w:ascii="Times New Roman" w:hAnsi="Times New Roman"/>
                <w:i/>
                <w:iCs/>
              </w:rPr>
              <w:t>)</w:t>
            </w:r>
            <w:r w:rsidRPr="0075139C">
              <w:rPr>
                <w:rFonts w:ascii="Times New Roman" w:hAnsi="Times New Roman"/>
                <w:i/>
                <w:iCs/>
              </w:rPr>
              <w:t xml:space="preserve"> socialinei</w:t>
            </w:r>
            <w:r w:rsidR="00B67854" w:rsidRPr="0075139C">
              <w:rPr>
                <w:rFonts w:ascii="Times New Roman" w:hAnsi="Times New Roman"/>
                <w:i/>
                <w:iCs/>
              </w:rPr>
              <w:t xml:space="preserve"> (-</w:t>
            </w:r>
            <w:proofErr w:type="spellStart"/>
            <w:r w:rsidR="00B67854" w:rsidRPr="0075139C">
              <w:rPr>
                <w:rFonts w:ascii="Times New Roman" w:hAnsi="Times New Roman"/>
                <w:i/>
                <w:iCs/>
              </w:rPr>
              <w:t>ėms</w:t>
            </w:r>
            <w:proofErr w:type="spellEnd"/>
            <w:r w:rsidR="00B67854" w:rsidRPr="0075139C">
              <w:rPr>
                <w:rFonts w:ascii="Times New Roman" w:hAnsi="Times New Roman"/>
                <w:i/>
                <w:iCs/>
              </w:rPr>
              <w:t>)</w:t>
            </w:r>
            <w:r w:rsidRPr="0075139C">
              <w:rPr>
                <w:rFonts w:ascii="Times New Roman" w:hAnsi="Times New Roman"/>
                <w:i/>
                <w:iCs/>
              </w:rPr>
              <w:t xml:space="preserve"> problemai (-</w:t>
            </w:r>
            <w:proofErr w:type="spellStart"/>
            <w:r w:rsidRPr="0075139C">
              <w:rPr>
                <w:rFonts w:ascii="Times New Roman" w:hAnsi="Times New Roman"/>
                <w:i/>
                <w:iCs/>
              </w:rPr>
              <w:t>oms</w:t>
            </w:r>
            <w:proofErr w:type="spellEnd"/>
            <w:r w:rsidRPr="0075139C">
              <w:rPr>
                <w:rFonts w:ascii="Times New Roman" w:hAnsi="Times New Roman"/>
                <w:i/>
                <w:iCs/>
              </w:rPr>
              <w:t>) spęsti. Kartu su PĮP pateikiamas patvirtintas vidaus dokumentas, kuriame numatyta</w:t>
            </w:r>
            <w:r w:rsidR="0023013F" w:rsidRPr="0075139C">
              <w:rPr>
                <w:rFonts w:ascii="Times New Roman" w:hAnsi="Times New Roman"/>
                <w:i/>
                <w:iCs/>
              </w:rPr>
              <w:t>,</w:t>
            </w:r>
            <w:r w:rsidRPr="0075139C">
              <w:rPr>
                <w:rFonts w:ascii="Times New Roman" w:hAnsi="Times New Roman"/>
                <w:i/>
                <w:iCs/>
              </w:rPr>
              <w:t xml:space="preserve"> kokia uždirbto pelno dalis bus skiriama socialinei problemai spręsti. </w:t>
            </w:r>
          </w:p>
          <w:p w14:paraId="48E026B4" w14:textId="6F5B6C92" w:rsidR="00C52F03" w:rsidRPr="0075139C" w:rsidRDefault="00C52F03" w:rsidP="00B71A0C">
            <w:pPr>
              <w:spacing w:after="0" w:line="240" w:lineRule="auto"/>
              <w:jc w:val="both"/>
              <w:rPr>
                <w:rFonts w:ascii="Times New Roman" w:hAnsi="Times New Roman"/>
                <w:i/>
                <w:iCs/>
              </w:rPr>
            </w:pPr>
            <w:r w:rsidRPr="0075139C">
              <w:rPr>
                <w:rFonts w:ascii="Times New Roman" w:hAnsi="Times New Roman"/>
                <w:i/>
                <w:iCs/>
                <w:color w:val="000000"/>
                <w:szCs w:val="24"/>
              </w:rPr>
              <w:t>Kriterijus vertinamas PĮP pateikimo dienai.</w:t>
            </w:r>
          </w:p>
          <w:p w14:paraId="6A85E506" w14:textId="77777777" w:rsidR="00B716CA" w:rsidRPr="0075139C" w:rsidRDefault="00B716CA" w:rsidP="00B71A0C">
            <w:pPr>
              <w:spacing w:after="0" w:line="240" w:lineRule="auto"/>
              <w:jc w:val="both"/>
              <w:rPr>
                <w:rFonts w:ascii="Times New Roman" w:hAnsi="Times New Roman"/>
                <w:i/>
                <w:iCs/>
                <w:shd w:val="clear" w:color="auto" w:fill="FFFFFF"/>
              </w:rPr>
            </w:pPr>
          </w:p>
        </w:tc>
      </w:tr>
      <w:tr w:rsidR="00DA53E8" w:rsidRPr="0075139C" w14:paraId="170F610A" w14:textId="77777777" w:rsidTr="00A4703B">
        <w:tc>
          <w:tcPr>
            <w:tcW w:w="846" w:type="dxa"/>
          </w:tcPr>
          <w:p w14:paraId="20C931BF" w14:textId="0C5F282A" w:rsidR="00DA53E8" w:rsidRPr="0075139C" w:rsidRDefault="00DA53E8" w:rsidP="00DA53E8">
            <w:pPr>
              <w:spacing w:after="0" w:line="240" w:lineRule="auto"/>
              <w:jc w:val="center"/>
              <w:rPr>
                <w:rFonts w:ascii="Times New Roman" w:hAnsi="Times New Roman"/>
                <w:b/>
                <w:bCs/>
                <w:shd w:val="clear" w:color="auto" w:fill="FFFFFF"/>
              </w:rPr>
            </w:pPr>
            <w:r w:rsidRPr="0075139C">
              <w:rPr>
                <w:rFonts w:ascii="Times New Roman" w:hAnsi="Times New Roman"/>
                <w:shd w:val="clear" w:color="auto" w:fill="FFFFFF"/>
              </w:rPr>
              <w:t>3.1.</w:t>
            </w:r>
          </w:p>
        </w:tc>
        <w:tc>
          <w:tcPr>
            <w:tcW w:w="5670" w:type="dxa"/>
            <w:tcBorders>
              <w:top w:val="single" w:sz="4" w:space="0" w:color="auto"/>
              <w:left w:val="single" w:sz="4" w:space="0" w:color="auto"/>
              <w:bottom w:val="single" w:sz="4" w:space="0" w:color="auto"/>
              <w:right w:val="single" w:sz="4" w:space="0" w:color="auto"/>
            </w:tcBorders>
          </w:tcPr>
          <w:p w14:paraId="618636CA" w14:textId="361AAFD9" w:rsidR="00DA53E8" w:rsidRPr="0075139C" w:rsidRDefault="00DA53E8" w:rsidP="00DA53E8">
            <w:pPr>
              <w:spacing w:after="0" w:line="240" w:lineRule="auto"/>
              <w:jc w:val="right"/>
              <w:rPr>
                <w:rFonts w:ascii="Times New Roman" w:hAnsi="Times New Roman"/>
              </w:rPr>
            </w:pPr>
            <w:r w:rsidRPr="0075139C">
              <w:rPr>
                <w:rFonts w:ascii="Times New Roman" w:hAnsi="Times New Roman"/>
              </w:rPr>
              <w:t>50 proc.</w:t>
            </w:r>
          </w:p>
        </w:tc>
        <w:tc>
          <w:tcPr>
            <w:tcW w:w="1418" w:type="dxa"/>
          </w:tcPr>
          <w:p w14:paraId="74F0CB61" w14:textId="38D8F199"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0</w:t>
            </w:r>
          </w:p>
        </w:tc>
        <w:tc>
          <w:tcPr>
            <w:tcW w:w="7087" w:type="dxa"/>
            <w:vMerge/>
          </w:tcPr>
          <w:p w14:paraId="54B74CEF" w14:textId="77777777" w:rsidR="00DA53E8" w:rsidRPr="0075139C" w:rsidRDefault="00DA53E8" w:rsidP="00DA53E8">
            <w:pPr>
              <w:spacing w:after="0" w:line="240" w:lineRule="auto"/>
              <w:jc w:val="both"/>
              <w:rPr>
                <w:rFonts w:ascii="Times New Roman" w:hAnsi="Times New Roman"/>
                <w:i/>
                <w:iCs/>
              </w:rPr>
            </w:pPr>
          </w:p>
        </w:tc>
      </w:tr>
      <w:tr w:rsidR="00DA53E8" w:rsidRPr="0075139C" w14:paraId="72175EFF" w14:textId="77777777" w:rsidTr="00A4703B">
        <w:tc>
          <w:tcPr>
            <w:tcW w:w="846" w:type="dxa"/>
          </w:tcPr>
          <w:p w14:paraId="54D1BB0D" w14:textId="15462656"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3.2.</w:t>
            </w:r>
          </w:p>
        </w:tc>
        <w:tc>
          <w:tcPr>
            <w:tcW w:w="5670" w:type="dxa"/>
            <w:tcBorders>
              <w:top w:val="single" w:sz="4" w:space="0" w:color="auto"/>
              <w:left w:val="single" w:sz="4" w:space="0" w:color="auto"/>
              <w:bottom w:val="single" w:sz="4" w:space="0" w:color="auto"/>
              <w:right w:val="single" w:sz="4" w:space="0" w:color="auto"/>
            </w:tcBorders>
          </w:tcPr>
          <w:p w14:paraId="0D01D0D8" w14:textId="762FBE54" w:rsidR="00DA53E8" w:rsidRPr="0075139C" w:rsidRDefault="00DA53E8" w:rsidP="00DA53E8">
            <w:pPr>
              <w:spacing w:after="0" w:line="240" w:lineRule="auto"/>
              <w:jc w:val="right"/>
              <w:rPr>
                <w:rFonts w:ascii="Times New Roman" w:hAnsi="Times New Roman"/>
              </w:rPr>
            </w:pPr>
            <w:r w:rsidRPr="0075139C">
              <w:rPr>
                <w:rFonts w:ascii="Times New Roman" w:hAnsi="Times New Roman"/>
              </w:rPr>
              <w:t>nuo 50,01 proc. iki 60 proc.</w:t>
            </w:r>
          </w:p>
        </w:tc>
        <w:tc>
          <w:tcPr>
            <w:tcW w:w="1418" w:type="dxa"/>
          </w:tcPr>
          <w:p w14:paraId="19B5B042" w14:textId="77777777"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10</w:t>
            </w:r>
          </w:p>
        </w:tc>
        <w:tc>
          <w:tcPr>
            <w:tcW w:w="7087" w:type="dxa"/>
            <w:vMerge/>
          </w:tcPr>
          <w:p w14:paraId="6A3799E2" w14:textId="77777777" w:rsidR="00DA53E8" w:rsidRPr="0075139C" w:rsidRDefault="00DA53E8" w:rsidP="00DA53E8">
            <w:pPr>
              <w:spacing w:after="0" w:line="240" w:lineRule="auto"/>
              <w:jc w:val="both"/>
              <w:rPr>
                <w:rFonts w:ascii="Times New Roman" w:hAnsi="Times New Roman"/>
                <w:i/>
                <w:iCs/>
                <w:shd w:val="clear" w:color="auto" w:fill="FFFFFF"/>
              </w:rPr>
            </w:pPr>
          </w:p>
        </w:tc>
      </w:tr>
      <w:tr w:rsidR="00DA53E8" w:rsidRPr="0075139C" w14:paraId="41CE78C6" w14:textId="77777777" w:rsidTr="00A4703B">
        <w:tc>
          <w:tcPr>
            <w:tcW w:w="846" w:type="dxa"/>
          </w:tcPr>
          <w:p w14:paraId="05A44C0F" w14:textId="1C09E848"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3.3.</w:t>
            </w:r>
          </w:p>
        </w:tc>
        <w:tc>
          <w:tcPr>
            <w:tcW w:w="5670" w:type="dxa"/>
            <w:tcBorders>
              <w:top w:val="single" w:sz="4" w:space="0" w:color="auto"/>
              <w:left w:val="single" w:sz="4" w:space="0" w:color="auto"/>
              <w:bottom w:val="single" w:sz="4" w:space="0" w:color="auto"/>
              <w:right w:val="single" w:sz="4" w:space="0" w:color="auto"/>
            </w:tcBorders>
          </w:tcPr>
          <w:p w14:paraId="0B0692D3" w14:textId="6D58497C" w:rsidR="00DA53E8" w:rsidRPr="0075139C" w:rsidRDefault="00DA53E8" w:rsidP="00DA53E8">
            <w:pPr>
              <w:spacing w:after="0" w:line="240" w:lineRule="auto"/>
              <w:jc w:val="right"/>
              <w:rPr>
                <w:rFonts w:ascii="Times New Roman" w:hAnsi="Times New Roman"/>
              </w:rPr>
            </w:pPr>
            <w:r w:rsidRPr="0075139C">
              <w:rPr>
                <w:rFonts w:ascii="Times New Roman" w:hAnsi="Times New Roman"/>
              </w:rPr>
              <w:t>nuo 60,01 proc. ir daugiau</w:t>
            </w:r>
          </w:p>
        </w:tc>
        <w:tc>
          <w:tcPr>
            <w:tcW w:w="1418" w:type="dxa"/>
          </w:tcPr>
          <w:p w14:paraId="163B650C" w14:textId="77777777"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20</w:t>
            </w:r>
          </w:p>
        </w:tc>
        <w:tc>
          <w:tcPr>
            <w:tcW w:w="7087" w:type="dxa"/>
            <w:vMerge/>
          </w:tcPr>
          <w:p w14:paraId="7FA04044" w14:textId="77777777" w:rsidR="00DA53E8" w:rsidRPr="0075139C" w:rsidRDefault="00DA53E8" w:rsidP="00DA53E8">
            <w:pPr>
              <w:spacing w:after="0" w:line="240" w:lineRule="auto"/>
              <w:jc w:val="both"/>
              <w:rPr>
                <w:rFonts w:ascii="Times New Roman" w:hAnsi="Times New Roman"/>
                <w:i/>
                <w:iCs/>
                <w:shd w:val="clear" w:color="auto" w:fill="FFFFFF"/>
              </w:rPr>
            </w:pPr>
          </w:p>
        </w:tc>
      </w:tr>
      <w:tr w:rsidR="00DA53E8" w:rsidRPr="0075139C" w14:paraId="77A1BC21" w14:textId="77777777" w:rsidTr="0053282D">
        <w:tc>
          <w:tcPr>
            <w:tcW w:w="846" w:type="dxa"/>
          </w:tcPr>
          <w:p w14:paraId="568E59E9" w14:textId="452C30FE"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4.</w:t>
            </w:r>
          </w:p>
        </w:tc>
        <w:tc>
          <w:tcPr>
            <w:tcW w:w="5670" w:type="dxa"/>
          </w:tcPr>
          <w:p w14:paraId="2E1C1ECE" w14:textId="4942C918" w:rsidR="00DA53E8" w:rsidRPr="0075139C" w:rsidRDefault="00DA53E8" w:rsidP="00DA53E8">
            <w:pPr>
              <w:spacing w:after="0" w:line="240" w:lineRule="auto"/>
              <w:jc w:val="both"/>
              <w:rPr>
                <w:rFonts w:ascii="Times New Roman" w:hAnsi="Times New Roman"/>
                <w:shd w:val="clear" w:color="auto" w:fill="FFFFFF"/>
              </w:rPr>
            </w:pPr>
            <w:r w:rsidRPr="0075139C">
              <w:rPr>
                <w:rFonts w:ascii="Times New Roman" w:hAnsi="Times New Roman"/>
                <w:b/>
              </w:rPr>
              <w:t xml:space="preserve">Pareiškėjas yra nevyriausybinė organizacija, kuri nepertraukiamai registruota Pasvalio mieste ne trumpiau kaip: </w:t>
            </w:r>
          </w:p>
        </w:tc>
        <w:tc>
          <w:tcPr>
            <w:tcW w:w="1418" w:type="dxa"/>
          </w:tcPr>
          <w:p w14:paraId="4DC07978" w14:textId="78ACDBF7" w:rsidR="00DA53E8" w:rsidRPr="0075139C" w:rsidRDefault="00DA53E8" w:rsidP="00DA53E8">
            <w:pPr>
              <w:spacing w:after="0" w:line="240" w:lineRule="auto"/>
              <w:jc w:val="center"/>
              <w:rPr>
                <w:rFonts w:ascii="Times New Roman" w:hAnsi="Times New Roman"/>
                <w:b/>
                <w:bCs/>
                <w:shd w:val="clear" w:color="auto" w:fill="FFFFFF"/>
              </w:rPr>
            </w:pPr>
            <w:r w:rsidRPr="0075139C">
              <w:rPr>
                <w:rFonts w:ascii="Times New Roman" w:hAnsi="Times New Roman"/>
                <w:b/>
                <w:bCs/>
                <w:shd w:val="clear" w:color="auto" w:fill="FFFFFF"/>
              </w:rPr>
              <w:t>20</w:t>
            </w:r>
          </w:p>
        </w:tc>
        <w:tc>
          <w:tcPr>
            <w:tcW w:w="7087" w:type="dxa"/>
            <w:vMerge w:val="restart"/>
          </w:tcPr>
          <w:p w14:paraId="60122658" w14:textId="35951A1F" w:rsidR="00DA53E8" w:rsidRPr="0075139C" w:rsidRDefault="00DA53E8" w:rsidP="00DA53E8">
            <w:pPr>
              <w:spacing w:after="0" w:line="240" w:lineRule="auto"/>
              <w:jc w:val="both"/>
              <w:rPr>
                <w:rFonts w:ascii="Times New Roman" w:hAnsi="Times New Roman"/>
                <w:i/>
                <w:iCs/>
                <w:shd w:val="clear" w:color="auto" w:fill="FFFFFF"/>
              </w:rPr>
            </w:pPr>
            <w:r w:rsidRPr="0075139C">
              <w:rPr>
                <w:rFonts w:ascii="Times New Roman" w:hAnsi="Times New Roman"/>
                <w:i/>
                <w:iCs/>
                <w:shd w:val="clear" w:color="auto" w:fill="FFFFFF"/>
              </w:rPr>
              <w:t>VĮ „Registrų centras“ Juridinių asmenų registre įregistruota žyma, kad pareiškėjas yra nevyriausybinė organizacija, kurios buveinė</w:t>
            </w:r>
          </w:p>
          <w:p w14:paraId="21FCCFB1" w14:textId="77777777" w:rsidR="00DA53E8" w:rsidRPr="0075139C" w:rsidRDefault="00DA53E8" w:rsidP="00DA53E8">
            <w:pPr>
              <w:spacing w:after="0" w:line="240" w:lineRule="auto"/>
              <w:jc w:val="both"/>
              <w:rPr>
                <w:rFonts w:ascii="Times New Roman" w:hAnsi="Times New Roman"/>
                <w:i/>
                <w:iCs/>
                <w:shd w:val="clear" w:color="auto" w:fill="FFFFFF"/>
              </w:rPr>
            </w:pPr>
            <w:r w:rsidRPr="0075139C">
              <w:rPr>
                <w:rFonts w:ascii="Times New Roman" w:hAnsi="Times New Roman"/>
                <w:i/>
                <w:iCs/>
                <w:shd w:val="clear" w:color="auto" w:fill="FFFFFF"/>
              </w:rPr>
              <w:t>PĮP pateikimo dieną ne trumpiau kaip paskutinius vienerius metus nepertraukiamai yra Pasvalio mieste. Vertinama pagal pareiškėjo PĮP, VĮ „Registrų centras“ Juridinių asmenų registro išplėstiniame išraše pateiktą informaciją.</w:t>
            </w:r>
          </w:p>
          <w:p w14:paraId="7AB87C49" w14:textId="77777777" w:rsidR="00C52F03" w:rsidRPr="0075139C" w:rsidRDefault="00C52F03" w:rsidP="00C52F03">
            <w:pPr>
              <w:spacing w:after="0" w:line="240" w:lineRule="auto"/>
              <w:jc w:val="both"/>
              <w:rPr>
                <w:rFonts w:ascii="Times New Roman" w:hAnsi="Times New Roman"/>
                <w:i/>
                <w:iCs/>
              </w:rPr>
            </w:pPr>
            <w:r w:rsidRPr="0075139C">
              <w:rPr>
                <w:rFonts w:ascii="Times New Roman" w:hAnsi="Times New Roman"/>
                <w:i/>
                <w:iCs/>
                <w:color w:val="000000"/>
                <w:szCs w:val="24"/>
              </w:rPr>
              <w:t>Kriterijus vertinamas PĮP pateikimo dienai.</w:t>
            </w:r>
          </w:p>
          <w:p w14:paraId="6C00D96B" w14:textId="7A1A754F" w:rsidR="00C52F03" w:rsidRPr="0075139C" w:rsidRDefault="00C52F03" w:rsidP="00DA53E8">
            <w:pPr>
              <w:spacing w:after="0" w:line="240" w:lineRule="auto"/>
              <w:jc w:val="both"/>
              <w:rPr>
                <w:rFonts w:ascii="Times New Roman" w:hAnsi="Times New Roman"/>
                <w:i/>
                <w:iCs/>
                <w:shd w:val="clear" w:color="auto" w:fill="FFFFFF"/>
              </w:rPr>
            </w:pPr>
          </w:p>
        </w:tc>
      </w:tr>
      <w:tr w:rsidR="00DA53E8" w:rsidRPr="0075139C" w14:paraId="04C3E9D8" w14:textId="77777777" w:rsidTr="0053282D">
        <w:tc>
          <w:tcPr>
            <w:tcW w:w="846" w:type="dxa"/>
          </w:tcPr>
          <w:p w14:paraId="5C863938" w14:textId="288B1BCB"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4.1.</w:t>
            </w:r>
          </w:p>
        </w:tc>
        <w:tc>
          <w:tcPr>
            <w:tcW w:w="5670" w:type="dxa"/>
          </w:tcPr>
          <w:p w14:paraId="244E0159" w14:textId="12D4B682" w:rsidR="00DA53E8" w:rsidRPr="0075139C" w:rsidRDefault="00DA53E8" w:rsidP="00DA53E8">
            <w:pPr>
              <w:spacing w:after="0" w:line="240" w:lineRule="auto"/>
              <w:jc w:val="right"/>
              <w:rPr>
                <w:rFonts w:ascii="Times New Roman" w:hAnsi="Times New Roman"/>
                <w:b/>
              </w:rPr>
            </w:pPr>
            <w:r w:rsidRPr="0075139C">
              <w:rPr>
                <w:rFonts w:ascii="Times New Roman" w:hAnsi="Times New Roman"/>
                <w:bCs/>
              </w:rPr>
              <w:t>iki 1 mėn. (imtinai)</w:t>
            </w:r>
          </w:p>
        </w:tc>
        <w:tc>
          <w:tcPr>
            <w:tcW w:w="1418" w:type="dxa"/>
          </w:tcPr>
          <w:p w14:paraId="5F966B4D" w14:textId="056A6548"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0</w:t>
            </w:r>
          </w:p>
        </w:tc>
        <w:tc>
          <w:tcPr>
            <w:tcW w:w="7087" w:type="dxa"/>
            <w:vMerge/>
          </w:tcPr>
          <w:p w14:paraId="289F5D1D" w14:textId="77777777" w:rsidR="00DA53E8" w:rsidRPr="0075139C" w:rsidRDefault="00DA53E8" w:rsidP="00DA53E8">
            <w:pPr>
              <w:spacing w:after="0" w:line="240" w:lineRule="auto"/>
              <w:jc w:val="both"/>
              <w:rPr>
                <w:rFonts w:ascii="Times New Roman" w:hAnsi="Times New Roman"/>
                <w:i/>
                <w:iCs/>
                <w:shd w:val="clear" w:color="auto" w:fill="FFFFFF"/>
              </w:rPr>
            </w:pPr>
          </w:p>
        </w:tc>
      </w:tr>
      <w:tr w:rsidR="00DA53E8" w:rsidRPr="0075139C" w14:paraId="3DA01D5B" w14:textId="77777777" w:rsidTr="0053282D">
        <w:tc>
          <w:tcPr>
            <w:tcW w:w="846" w:type="dxa"/>
          </w:tcPr>
          <w:p w14:paraId="53586E75" w14:textId="12A27748"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4.2.</w:t>
            </w:r>
          </w:p>
        </w:tc>
        <w:tc>
          <w:tcPr>
            <w:tcW w:w="5670" w:type="dxa"/>
          </w:tcPr>
          <w:p w14:paraId="02925EA4" w14:textId="0A76E0F6" w:rsidR="00DA53E8" w:rsidRPr="0075139C" w:rsidRDefault="00DA53E8" w:rsidP="00DA53E8">
            <w:pPr>
              <w:spacing w:after="0" w:line="240" w:lineRule="auto"/>
              <w:jc w:val="right"/>
              <w:rPr>
                <w:rFonts w:ascii="Times New Roman" w:hAnsi="Times New Roman"/>
                <w:bCs/>
              </w:rPr>
            </w:pPr>
            <w:r w:rsidRPr="0075139C">
              <w:rPr>
                <w:rFonts w:ascii="Times New Roman" w:hAnsi="Times New Roman"/>
                <w:bCs/>
              </w:rPr>
              <w:t>nuo 1 mėn. iki 3 mėn. (imtinai)</w:t>
            </w:r>
          </w:p>
        </w:tc>
        <w:tc>
          <w:tcPr>
            <w:tcW w:w="1418" w:type="dxa"/>
          </w:tcPr>
          <w:p w14:paraId="44456EC7" w14:textId="35173CBF"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5</w:t>
            </w:r>
          </w:p>
        </w:tc>
        <w:tc>
          <w:tcPr>
            <w:tcW w:w="7087" w:type="dxa"/>
            <w:vMerge/>
          </w:tcPr>
          <w:p w14:paraId="36B7A0C9" w14:textId="77777777" w:rsidR="00DA53E8" w:rsidRPr="0075139C" w:rsidRDefault="00DA53E8" w:rsidP="00DA53E8">
            <w:pPr>
              <w:spacing w:after="0" w:line="240" w:lineRule="auto"/>
              <w:jc w:val="both"/>
              <w:rPr>
                <w:rFonts w:ascii="Times New Roman" w:hAnsi="Times New Roman"/>
                <w:i/>
                <w:iCs/>
                <w:shd w:val="clear" w:color="auto" w:fill="FFFFFF"/>
              </w:rPr>
            </w:pPr>
          </w:p>
        </w:tc>
      </w:tr>
      <w:tr w:rsidR="00DA53E8" w:rsidRPr="0075139C" w14:paraId="78F6FBBF" w14:textId="77777777" w:rsidTr="0053282D">
        <w:tc>
          <w:tcPr>
            <w:tcW w:w="846" w:type="dxa"/>
          </w:tcPr>
          <w:p w14:paraId="28B7292A" w14:textId="4B10773F"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4.3.</w:t>
            </w:r>
          </w:p>
        </w:tc>
        <w:tc>
          <w:tcPr>
            <w:tcW w:w="5670" w:type="dxa"/>
          </w:tcPr>
          <w:p w14:paraId="15B30647" w14:textId="34374F51" w:rsidR="00DA53E8" w:rsidRPr="0075139C" w:rsidRDefault="00DA53E8" w:rsidP="00DA53E8">
            <w:pPr>
              <w:spacing w:after="0" w:line="240" w:lineRule="auto"/>
              <w:jc w:val="right"/>
              <w:rPr>
                <w:rFonts w:ascii="Times New Roman" w:hAnsi="Times New Roman"/>
                <w:bCs/>
              </w:rPr>
            </w:pPr>
            <w:r w:rsidRPr="0075139C">
              <w:rPr>
                <w:rFonts w:ascii="Times New Roman" w:hAnsi="Times New Roman"/>
                <w:bCs/>
              </w:rPr>
              <w:t>nuo 3 mėn. iki 6 mėn. (imtinai)</w:t>
            </w:r>
          </w:p>
        </w:tc>
        <w:tc>
          <w:tcPr>
            <w:tcW w:w="1418" w:type="dxa"/>
          </w:tcPr>
          <w:p w14:paraId="1004995A" w14:textId="3C58CBB9"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10</w:t>
            </w:r>
          </w:p>
        </w:tc>
        <w:tc>
          <w:tcPr>
            <w:tcW w:w="7087" w:type="dxa"/>
            <w:vMerge/>
          </w:tcPr>
          <w:p w14:paraId="1B7BD715" w14:textId="77777777" w:rsidR="00DA53E8" w:rsidRPr="0075139C" w:rsidRDefault="00DA53E8" w:rsidP="00DA53E8">
            <w:pPr>
              <w:spacing w:after="0" w:line="240" w:lineRule="auto"/>
              <w:jc w:val="both"/>
              <w:rPr>
                <w:rFonts w:ascii="Times New Roman" w:hAnsi="Times New Roman"/>
                <w:i/>
                <w:iCs/>
                <w:shd w:val="clear" w:color="auto" w:fill="FFFFFF"/>
              </w:rPr>
            </w:pPr>
          </w:p>
        </w:tc>
      </w:tr>
      <w:tr w:rsidR="00DA53E8" w:rsidRPr="0075139C" w14:paraId="7BCDEF0A" w14:textId="77777777" w:rsidTr="0053282D">
        <w:tc>
          <w:tcPr>
            <w:tcW w:w="846" w:type="dxa"/>
          </w:tcPr>
          <w:p w14:paraId="21871D8A" w14:textId="2558DBF7"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4.4.</w:t>
            </w:r>
          </w:p>
        </w:tc>
        <w:tc>
          <w:tcPr>
            <w:tcW w:w="5670" w:type="dxa"/>
          </w:tcPr>
          <w:p w14:paraId="5784EFED" w14:textId="15593499" w:rsidR="00DA53E8" w:rsidRPr="0075139C" w:rsidRDefault="00DA53E8" w:rsidP="00DA53E8">
            <w:pPr>
              <w:spacing w:after="0" w:line="240" w:lineRule="auto"/>
              <w:jc w:val="right"/>
              <w:rPr>
                <w:rFonts w:ascii="Times New Roman" w:hAnsi="Times New Roman"/>
                <w:bCs/>
              </w:rPr>
            </w:pPr>
            <w:r w:rsidRPr="0075139C">
              <w:rPr>
                <w:rFonts w:ascii="Times New Roman" w:hAnsi="Times New Roman"/>
                <w:bCs/>
              </w:rPr>
              <w:t xml:space="preserve">nuo 6 mėn. iki 12 mėn. (imtinai) </w:t>
            </w:r>
          </w:p>
        </w:tc>
        <w:tc>
          <w:tcPr>
            <w:tcW w:w="1418" w:type="dxa"/>
          </w:tcPr>
          <w:p w14:paraId="21F54B2A" w14:textId="4FC8A265"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15</w:t>
            </w:r>
          </w:p>
        </w:tc>
        <w:tc>
          <w:tcPr>
            <w:tcW w:w="7087" w:type="dxa"/>
            <w:vMerge/>
          </w:tcPr>
          <w:p w14:paraId="5A514B98" w14:textId="77777777" w:rsidR="00DA53E8" w:rsidRPr="0075139C" w:rsidRDefault="00DA53E8" w:rsidP="00DA53E8">
            <w:pPr>
              <w:spacing w:after="0" w:line="240" w:lineRule="auto"/>
              <w:jc w:val="both"/>
              <w:rPr>
                <w:rFonts w:ascii="Times New Roman" w:hAnsi="Times New Roman"/>
                <w:i/>
                <w:iCs/>
                <w:shd w:val="clear" w:color="auto" w:fill="FFFFFF"/>
              </w:rPr>
            </w:pPr>
          </w:p>
        </w:tc>
      </w:tr>
      <w:tr w:rsidR="00DA53E8" w:rsidRPr="0075139C" w14:paraId="07F095ED" w14:textId="77777777" w:rsidTr="0053282D">
        <w:tc>
          <w:tcPr>
            <w:tcW w:w="846" w:type="dxa"/>
          </w:tcPr>
          <w:p w14:paraId="55EA255A" w14:textId="2FDAE441"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4.5.</w:t>
            </w:r>
          </w:p>
        </w:tc>
        <w:tc>
          <w:tcPr>
            <w:tcW w:w="5670" w:type="dxa"/>
          </w:tcPr>
          <w:p w14:paraId="12A7E3DC" w14:textId="13F5668E" w:rsidR="00DA53E8" w:rsidRPr="0075139C" w:rsidRDefault="00DA53E8" w:rsidP="00DA53E8">
            <w:pPr>
              <w:spacing w:after="0" w:line="240" w:lineRule="auto"/>
              <w:jc w:val="right"/>
              <w:rPr>
                <w:rFonts w:ascii="Times New Roman" w:hAnsi="Times New Roman"/>
                <w:bCs/>
              </w:rPr>
            </w:pPr>
            <w:r w:rsidRPr="0075139C">
              <w:rPr>
                <w:rFonts w:ascii="Times New Roman" w:hAnsi="Times New Roman"/>
                <w:bCs/>
              </w:rPr>
              <w:t xml:space="preserve">nuo 12 mėn. ir daugiau </w:t>
            </w:r>
          </w:p>
        </w:tc>
        <w:tc>
          <w:tcPr>
            <w:tcW w:w="1418" w:type="dxa"/>
          </w:tcPr>
          <w:p w14:paraId="4DDD338E" w14:textId="400E1779"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20</w:t>
            </w:r>
          </w:p>
        </w:tc>
        <w:tc>
          <w:tcPr>
            <w:tcW w:w="7087" w:type="dxa"/>
            <w:vMerge/>
          </w:tcPr>
          <w:p w14:paraId="3A0FB71D" w14:textId="77777777" w:rsidR="00DA53E8" w:rsidRPr="0075139C" w:rsidRDefault="00DA53E8" w:rsidP="00DA53E8">
            <w:pPr>
              <w:spacing w:after="0" w:line="240" w:lineRule="auto"/>
              <w:jc w:val="both"/>
              <w:rPr>
                <w:rFonts w:ascii="Times New Roman" w:hAnsi="Times New Roman"/>
                <w:i/>
                <w:iCs/>
                <w:shd w:val="clear" w:color="auto" w:fill="FFFFFF"/>
              </w:rPr>
            </w:pPr>
          </w:p>
        </w:tc>
      </w:tr>
      <w:tr w:rsidR="00DA53E8" w:rsidRPr="0075139C" w14:paraId="448EC6E6" w14:textId="77777777" w:rsidTr="0053282D">
        <w:tc>
          <w:tcPr>
            <w:tcW w:w="846" w:type="dxa"/>
          </w:tcPr>
          <w:p w14:paraId="337C75CC" w14:textId="3CDBC811"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5.</w:t>
            </w:r>
          </w:p>
        </w:tc>
        <w:tc>
          <w:tcPr>
            <w:tcW w:w="5670" w:type="dxa"/>
          </w:tcPr>
          <w:p w14:paraId="48BFE90D" w14:textId="29E25449" w:rsidR="00DA53E8" w:rsidRPr="0075139C" w:rsidRDefault="000A74A2" w:rsidP="00AE7592">
            <w:pPr>
              <w:spacing w:after="0" w:line="240" w:lineRule="auto"/>
              <w:jc w:val="both"/>
              <w:rPr>
                <w:rFonts w:ascii="Times New Roman" w:hAnsi="Times New Roman"/>
                <w:shd w:val="clear" w:color="auto" w:fill="FFFFFF"/>
              </w:rPr>
            </w:pPr>
            <w:r w:rsidRPr="0075139C">
              <w:rPr>
                <w:rFonts w:ascii="Times New Roman" w:hAnsi="Times New Roman"/>
                <w:b/>
                <w:bCs/>
              </w:rPr>
              <w:t>Pradedamos teikti naujos socialinės paslaugos</w:t>
            </w:r>
            <w:r w:rsidR="00AE7592" w:rsidRPr="0075139C">
              <w:rPr>
                <w:rFonts w:ascii="Times New Roman" w:hAnsi="Times New Roman"/>
                <w:b/>
                <w:bCs/>
              </w:rPr>
              <w:t xml:space="preserve"> </w:t>
            </w:r>
            <w:r w:rsidRPr="0075139C">
              <w:rPr>
                <w:rFonts w:ascii="Times New Roman" w:hAnsi="Times New Roman"/>
                <w:i/>
                <w:iCs/>
              </w:rPr>
              <w:t>(laikoma, kad nauja socialinė paslauga yra tokia, kuri kvietimo paskelbimo dienai nėra teikiama Pasvalio mieste)</w:t>
            </w:r>
          </w:p>
        </w:tc>
        <w:tc>
          <w:tcPr>
            <w:tcW w:w="1418" w:type="dxa"/>
          </w:tcPr>
          <w:p w14:paraId="48747C5A" w14:textId="0B24D0C0" w:rsidR="00DA53E8" w:rsidRPr="0075139C" w:rsidRDefault="00DA53E8" w:rsidP="00DA53E8">
            <w:pPr>
              <w:spacing w:after="0" w:line="240" w:lineRule="auto"/>
              <w:jc w:val="center"/>
              <w:rPr>
                <w:rFonts w:ascii="Times New Roman" w:hAnsi="Times New Roman"/>
                <w:b/>
                <w:bCs/>
                <w:shd w:val="clear" w:color="auto" w:fill="FFFFFF"/>
              </w:rPr>
            </w:pPr>
            <w:r w:rsidRPr="0075139C">
              <w:rPr>
                <w:rFonts w:ascii="Times New Roman" w:hAnsi="Times New Roman"/>
                <w:b/>
                <w:bCs/>
                <w:shd w:val="clear" w:color="auto" w:fill="FFFFFF"/>
              </w:rPr>
              <w:t>20</w:t>
            </w:r>
          </w:p>
        </w:tc>
        <w:tc>
          <w:tcPr>
            <w:tcW w:w="7087" w:type="dxa"/>
            <w:vMerge w:val="restart"/>
          </w:tcPr>
          <w:p w14:paraId="41485825" w14:textId="27650A87" w:rsidR="000A74A2" w:rsidRPr="0075139C" w:rsidRDefault="000A74A2" w:rsidP="000A74A2">
            <w:pPr>
              <w:spacing w:after="0" w:line="240" w:lineRule="auto"/>
              <w:jc w:val="both"/>
              <w:rPr>
                <w:rFonts w:ascii="Times New Roman" w:hAnsi="Times New Roman"/>
                <w:i/>
                <w:iCs/>
              </w:rPr>
            </w:pPr>
            <w:r w:rsidRPr="0075139C">
              <w:rPr>
                <w:rFonts w:ascii="Times New Roman" w:hAnsi="Times New Roman"/>
                <w:i/>
                <w:iCs/>
              </w:rPr>
              <w:t>Jei Pasvalio miesto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0F597F91" w14:textId="77777777" w:rsidR="00DA53E8" w:rsidRPr="0075139C" w:rsidRDefault="000A74A2" w:rsidP="000A74A2">
            <w:pPr>
              <w:spacing w:after="0" w:line="240" w:lineRule="auto"/>
              <w:jc w:val="both"/>
              <w:rPr>
                <w:rFonts w:ascii="Times New Roman" w:hAnsi="Times New Roman"/>
                <w:i/>
                <w:iCs/>
              </w:rPr>
            </w:pPr>
            <w:r w:rsidRPr="0075139C">
              <w:rPr>
                <w:rFonts w:ascii="Times New Roman" w:hAnsi="Times New Roman"/>
                <w:i/>
                <w:iCs/>
              </w:rPr>
              <w:t xml:space="preserve">Jei planuojama pradėti teikti visai naują paslaugą, turi būti aprašyta, remiantis kitų </w:t>
            </w:r>
            <w:r w:rsidR="0097480B" w:rsidRPr="0075139C">
              <w:rPr>
                <w:rFonts w:ascii="Times New Roman" w:hAnsi="Times New Roman"/>
                <w:i/>
                <w:iCs/>
              </w:rPr>
              <w:t xml:space="preserve">Lietuvos miestų </w:t>
            </w:r>
            <w:r w:rsidRPr="0075139C">
              <w:rPr>
                <w:rFonts w:ascii="Times New Roman" w:hAnsi="Times New Roman"/>
                <w:i/>
                <w:iCs/>
              </w:rPr>
              <w:t>VVG ar kitų šalių patirtimi, kodėl tokia paslauga reikalinga, sėkminga ir t.t.</w:t>
            </w:r>
          </w:p>
          <w:p w14:paraId="777F8D54" w14:textId="77777777" w:rsidR="00C52F03" w:rsidRPr="0075139C" w:rsidRDefault="00C52F03" w:rsidP="00C52F03">
            <w:pPr>
              <w:spacing w:after="0" w:line="240" w:lineRule="auto"/>
              <w:jc w:val="both"/>
              <w:rPr>
                <w:rFonts w:ascii="Times New Roman" w:hAnsi="Times New Roman"/>
                <w:i/>
                <w:iCs/>
              </w:rPr>
            </w:pPr>
            <w:r w:rsidRPr="0075139C">
              <w:rPr>
                <w:rFonts w:ascii="Times New Roman" w:hAnsi="Times New Roman"/>
                <w:i/>
                <w:iCs/>
                <w:color w:val="000000"/>
                <w:szCs w:val="24"/>
              </w:rPr>
              <w:t>Kriterijus vertinamas PĮP pateikimo dienai.</w:t>
            </w:r>
          </w:p>
          <w:p w14:paraId="37D369CE" w14:textId="1EE8FC79" w:rsidR="00C52F03" w:rsidRPr="0075139C" w:rsidRDefault="00C52F03" w:rsidP="000A74A2">
            <w:pPr>
              <w:spacing w:after="0" w:line="240" w:lineRule="auto"/>
              <w:jc w:val="both"/>
              <w:rPr>
                <w:rFonts w:ascii="Times New Roman" w:hAnsi="Times New Roman"/>
                <w:i/>
                <w:iCs/>
              </w:rPr>
            </w:pPr>
          </w:p>
        </w:tc>
      </w:tr>
      <w:tr w:rsidR="000A74A2" w:rsidRPr="0075139C" w14:paraId="4308D955" w14:textId="77777777" w:rsidTr="0053282D">
        <w:tc>
          <w:tcPr>
            <w:tcW w:w="846" w:type="dxa"/>
          </w:tcPr>
          <w:p w14:paraId="2B3E2F64" w14:textId="4867F1AD"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5.1.</w:t>
            </w:r>
          </w:p>
        </w:tc>
        <w:tc>
          <w:tcPr>
            <w:tcW w:w="5670" w:type="dxa"/>
          </w:tcPr>
          <w:p w14:paraId="0BACCE7F" w14:textId="7E82C077" w:rsidR="000A74A2" w:rsidRPr="0075139C" w:rsidRDefault="00F3439A" w:rsidP="000A74A2">
            <w:pPr>
              <w:spacing w:after="0" w:line="240" w:lineRule="auto"/>
              <w:jc w:val="right"/>
              <w:rPr>
                <w:rFonts w:ascii="Times New Roman" w:hAnsi="Times New Roman"/>
                <w:b/>
                <w:bCs/>
              </w:rPr>
            </w:pPr>
            <w:r w:rsidRPr="0075139C">
              <w:rPr>
                <w:rFonts w:ascii="Times New Roman" w:hAnsi="Times New Roman"/>
              </w:rPr>
              <w:t>p</w:t>
            </w:r>
            <w:r w:rsidR="000A74A2" w:rsidRPr="0075139C">
              <w:rPr>
                <w:rFonts w:ascii="Times New Roman" w:hAnsi="Times New Roman"/>
              </w:rPr>
              <w:t xml:space="preserve">lanuojamos socialinės paslaugos nėra naujos </w:t>
            </w:r>
          </w:p>
        </w:tc>
        <w:tc>
          <w:tcPr>
            <w:tcW w:w="1418" w:type="dxa"/>
          </w:tcPr>
          <w:p w14:paraId="7F7A9654" w14:textId="52390744"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0</w:t>
            </w:r>
          </w:p>
        </w:tc>
        <w:tc>
          <w:tcPr>
            <w:tcW w:w="7087" w:type="dxa"/>
            <w:vMerge/>
          </w:tcPr>
          <w:p w14:paraId="1CE61D90" w14:textId="77777777" w:rsidR="000A74A2" w:rsidRPr="0075139C" w:rsidRDefault="000A74A2" w:rsidP="000A74A2">
            <w:pPr>
              <w:spacing w:after="0" w:line="240" w:lineRule="auto"/>
              <w:jc w:val="both"/>
              <w:rPr>
                <w:rFonts w:ascii="Times New Roman" w:hAnsi="Times New Roman"/>
                <w:i/>
                <w:iCs/>
              </w:rPr>
            </w:pPr>
          </w:p>
        </w:tc>
      </w:tr>
      <w:tr w:rsidR="000A74A2" w:rsidRPr="0075139C" w14:paraId="5D6C6565" w14:textId="77777777" w:rsidTr="00BF0266">
        <w:tc>
          <w:tcPr>
            <w:tcW w:w="846" w:type="dxa"/>
          </w:tcPr>
          <w:p w14:paraId="78ADE285" w14:textId="21831D95"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5.2.</w:t>
            </w:r>
          </w:p>
        </w:tc>
        <w:tc>
          <w:tcPr>
            <w:tcW w:w="5670" w:type="dxa"/>
          </w:tcPr>
          <w:p w14:paraId="41D7F5C9" w14:textId="323CA7D2" w:rsidR="000A74A2" w:rsidRPr="0075139C" w:rsidRDefault="00F3439A" w:rsidP="000A74A2">
            <w:pPr>
              <w:spacing w:after="0" w:line="240" w:lineRule="auto"/>
              <w:jc w:val="right"/>
              <w:rPr>
                <w:rFonts w:ascii="Times New Roman" w:hAnsi="Times New Roman"/>
              </w:rPr>
            </w:pPr>
            <w:r w:rsidRPr="0075139C">
              <w:rPr>
                <w:rFonts w:ascii="Times New Roman" w:hAnsi="Times New Roman"/>
              </w:rPr>
              <w:t>p</w:t>
            </w:r>
            <w:r w:rsidR="000A74A2" w:rsidRPr="0075139C">
              <w:rPr>
                <w:rFonts w:ascii="Times New Roman" w:hAnsi="Times New Roman"/>
              </w:rPr>
              <w:t>lanuojama teikti naują socialinę paslaugą arba socialinė paslauga teikiama iki 1 metų ir yra aiškus tokios teikiamos paslaugos poreikis</w:t>
            </w:r>
          </w:p>
        </w:tc>
        <w:tc>
          <w:tcPr>
            <w:tcW w:w="1418" w:type="dxa"/>
          </w:tcPr>
          <w:p w14:paraId="14FD0866" w14:textId="29B6A9E3"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10</w:t>
            </w:r>
          </w:p>
        </w:tc>
        <w:tc>
          <w:tcPr>
            <w:tcW w:w="7087" w:type="dxa"/>
            <w:vMerge/>
          </w:tcPr>
          <w:p w14:paraId="4A37E581" w14:textId="308462D9" w:rsidR="000A74A2" w:rsidRPr="0075139C" w:rsidRDefault="000A74A2" w:rsidP="000A74A2">
            <w:pPr>
              <w:spacing w:after="0" w:line="240" w:lineRule="auto"/>
              <w:jc w:val="both"/>
              <w:rPr>
                <w:rFonts w:ascii="Times New Roman" w:hAnsi="Times New Roman"/>
                <w:iCs/>
              </w:rPr>
            </w:pPr>
          </w:p>
        </w:tc>
      </w:tr>
      <w:tr w:rsidR="000A74A2" w:rsidRPr="0075139C" w14:paraId="37C95B5F" w14:textId="77777777" w:rsidTr="00BF0266">
        <w:tc>
          <w:tcPr>
            <w:tcW w:w="846" w:type="dxa"/>
          </w:tcPr>
          <w:p w14:paraId="6F8EDD74" w14:textId="6C58D86A"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5.3.</w:t>
            </w:r>
          </w:p>
        </w:tc>
        <w:tc>
          <w:tcPr>
            <w:tcW w:w="5670" w:type="dxa"/>
          </w:tcPr>
          <w:p w14:paraId="56D2AA4B" w14:textId="5D592E27" w:rsidR="000A74A2" w:rsidRPr="0075139C" w:rsidRDefault="00F3439A" w:rsidP="000A74A2">
            <w:pPr>
              <w:spacing w:after="0" w:line="240" w:lineRule="auto"/>
              <w:jc w:val="right"/>
              <w:rPr>
                <w:rFonts w:ascii="Times New Roman" w:hAnsi="Times New Roman"/>
              </w:rPr>
            </w:pPr>
            <w:r w:rsidRPr="0075139C">
              <w:rPr>
                <w:rFonts w:ascii="Times New Roman" w:hAnsi="Times New Roman"/>
              </w:rPr>
              <w:t>p</w:t>
            </w:r>
            <w:r w:rsidR="000A74A2" w:rsidRPr="0075139C">
              <w:rPr>
                <w:rFonts w:ascii="Times New Roman" w:hAnsi="Times New Roman"/>
              </w:rPr>
              <w:t xml:space="preserve">lanuojam teikti naują socialinę paslaugą ir toks paslaugos poreikis aiškiai pagrįstas  </w:t>
            </w:r>
          </w:p>
        </w:tc>
        <w:tc>
          <w:tcPr>
            <w:tcW w:w="1418" w:type="dxa"/>
          </w:tcPr>
          <w:p w14:paraId="6ADBE286" w14:textId="1DE4AB51" w:rsidR="000A74A2" w:rsidRPr="0075139C" w:rsidRDefault="000A74A2" w:rsidP="000A74A2">
            <w:pPr>
              <w:spacing w:after="0" w:line="240" w:lineRule="auto"/>
              <w:jc w:val="center"/>
              <w:rPr>
                <w:rFonts w:ascii="Times New Roman" w:hAnsi="Times New Roman"/>
                <w:shd w:val="clear" w:color="auto" w:fill="FFFFFF"/>
              </w:rPr>
            </w:pPr>
            <w:r w:rsidRPr="0075139C">
              <w:rPr>
                <w:rFonts w:ascii="Times New Roman" w:hAnsi="Times New Roman"/>
                <w:shd w:val="clear" w:color="auto" w:fill="FFFFFF"/>
              </w:rPr>
              <w:t>20</w:t>
            </w:r>
          </w:p>
        </w:tc>
        <w:tc>
          <w:tcPr>
            <w:tcW w:w="7087" w:type="dxa"/>
            <w:vMerge/>
          </w:tcPr>
          <w:p w14:paraId="108E225F" w14:textId="77777777" w:rsidR="000A74A2" w:rsidRPr="0075139C" w:rsidRDefault="000A74A2" w:rsidP="000A74A2">
            <w:pPr>
              <w:spacing w:after="0" w:line="240" w:lineRule="auto"/>
              <w:jc w:val="both"/>
              <w:rPr>
                <w:rFonts w:ascii="Times New Roman" w:hAnsi="Times New Roman"/>
                <w:iCs/>
              </w:rPr>
            </w:pPr>
          </w:p>
        </w:tc>
      </w:tr>
      <w:tr w:rsidR="00DA53E8" w:rsidRPr="0075139C" w14:paraId="02D0CFEA" w14:textId="77777777" w:rsidTr="002B0F41">
        <w:tc>
          <w:tcPr>
            <w:tcW w:w="846" w:type="dxa"/>
          </w:tcPr>
          <w:p w14:paraId="7DE7A50D" w14:textId="77777777" w:rsidR="00DA53E8" w:rsidRPr="0075139C" w:rsidRDefault="00DA53E8" w:rsidP="00DA53E8">
            <w:pPr>
              <w:spacing w:after="0" w:line="240" w:lineRule="auto"/>
              <w:jc w:val="center"/>
              <w:rPr>
                <w:rFonts w:ascii="Times New Roman" w:hAnsi="Times New Roman"/>
                <w:shd w:val="clear" w:color="auto" w:fill="FFFFFF"/>
              </w:rPr>
            </w:pPr>
          </w:p>
        </w:tc>
        <w:tc>
          <w:tcPr>
            <w:tcW w:w="5670" w:type="dxa"/>
            <w:tcBorders>
              <w:top w:val="single" w:sz="4" w:space="0" w:color="auto"/>
              <w:left w:val="single" w:sz="4" w:space="0" w:color="auto"/>
              <w:bottom w:val="single" w:sz="4" w:space="0" w:color="auto"/>
              <w:right w:val="single" w:sz="4" w:space="0" w:color="auto"/>
            </w:tcBorders>
          </w:tcPr>
          <w:p w14:paraId="3AB3DB4F" w14:textId="6612537F" w:rsidR="00DA53E8" w:rsidRPr="0075139C" w:rsidRDefault="00DA53E8" w:rsidP="00DA53E8">
            <w:pPr>
              <w:spacing w:after="0" w:line="240" w:lineRule="auto"/>
              <w:jc w:val="right"/>
              <w:rPr>
                <w:rFonts w:ascii="Times New Roman" w:hAnsi="Times New Roman"/>
              </w:rPr>
            </w:pPr>
            <w:r w:rsidRPr="0075139C">
              <w:rPr>
                <w:rFonts w:ascii="Times New Roman" w:hAnsi="Times New Roman"/>
                <w:b/>
                <w:bCs/>
              </w:rPr>
              <w:t>Suma</w:t>
            </w:r>
            <w:r w:rsidRPr="0075139C">
              <w:rPr>
                <w:rFonts w:ascii="Times New Roman" w:hAnsi="Times New Roman"/>
                <w:b/>
                <w:bCs/>
                <w:caps/>
              </w:rPr>
              <w:t>:</w:t>
            </w:r>
          </w:p>
        </w:tc>
        <w:tc>
          <w:tcPr>
            <w:tcW w:w="1418" w:type="dxa"/>
            <w:tcBorders>
              <w:top w:val="single" w:sz="4" w:space="0" w:color="auto"/>
              <w:left w:val="single" w:sz="4" w:space="0" w:color="auto"/>
              <w:bottom w:val="single" w:sz="4" w:space="0" w:color="auto"/>
              <w:right w:val="single" w:sz="4" w:space="0" w:color="auto"/>
            </w:tcBorders>
            <w:vAlign w:val="center"/>
          </w:tcPr>
          <w:p w14:paraId="20F13BA5" w14:textId="681A1257"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b/>
                <w:bCs/>
              </w:rPr>
              <w:t>100</w:t>
            </w:r>
          </w:p>
        </w:tc>
        <w:tc>
          <w:tcPr>
            <w:tcW w:w="7087" w:type="dxa"/>
          </w:tcPr>
          <w:p w14:paraId="6189E987" w14:textId="77777777" w:rsidR="00DA53E8" w:rsidRPr="0075139C" w:rsidRDefault="00DA53E8" w:rsidP="00DA53E8">
            <w:pPr>
              <w:spacing w:after="0" w:line="240" w:lineRule="auto"/>
              <w:jc w:val="center"/>
              <w:rPr>
                <w:rFonts w:ascii="Times New Roman" w:hAnsi="Times New Roman"/>
                <w:shd w:val="clear" w:color="auto" w:fill="FFFFFF"/>
              </w:rPr>
            </w:pPr>
          </w:p>
        </w:tc>
      </w:tr>
      <w:tr w:rsidR="00DA53E8" w:rsidRPr="0075139C" w14:paraId="0C78C8C4" w14:textId="77777777" w:rsidTr="002B0F41">
        <w:tc>
          <w:tcPr>
            <w:tcW w:w="846" w:type="dxa"/>
          </w:tcPr>
          <w:p w14:paraId="1BF825F5" w14:textId="77777777" w:rsidR="00DA53E8" w:rsidRPr="0075139C" w:rsidRDefault="00DA53E8" w:rsidP="00DA53E8">
            <w:pPr>
              <w:spacing w:after="0" w:line="240" w:lineRule="auto"/>
              <w:jc w:val="center"/>
              <w:rPr>
                <w:rFonts w:ascii="Times New Roman" w:hAnsi="Times New Roman"/>
                <w:shd w:val="clear" w:color="auto" w:fill="FFFFFF"/>
              </w:rPr>
            </w:pPr>
          </w:p>
        </w:tc>
        <w:tc>
          <w:tcPr>
            <w:tcW w:w="5670" w:type="dxa"/>
            <w:tcBorders>
              <w:top w:val="single" w:sz="4" w:space="0" w:color="auto"/>
              <w:left w:val="single" w:sz="4" w:space="0" w:color="auto"/>
              <w:bottom w:val="single" w:sz="4" w:space="0" w:color="auto"/>
              <w:right w:val="single" w:sz="4" w:space="0" w:color="auto"/>
            </w:tcBorders>
          </w:tcPr>
          <w:p w14:paraId="19D4DFD4" w14:textId="4B3E8053" w:rsidR="00DA53E8" w:rsidRPr="0075139C" w:rsidRDefault="00DA53E8" w:rsidP="00DA53E8">
            <w:pPr>
              <w:spacing w:after="0" w:line="240" w:lineRule="auto"/>
              <w:jc w:val="right"/>
              <w:rPr>
                <w:rFonts w:ascii="Times New Roman" w:hAnsi="Times New Roman"/>
              </w:rPr>
            </w:pPr>
            <w:r w:rsidRPr="0075139C">
              <w:rPr>
                <w:rFonts w:ascii="Times New Roman" w:hAnsi="Times New Roman"/>
                <w:b/>
                <w:bCs/>
              </w:rPr>
              <w:t>Minimali privaloma surinkti balų suma:</w:t>
            </w:r>
          </w:p>
        </w:tc>
        <w:tc>
          <w:tcPr>
            <w:tcW w:w="1418" w:type="dxa"/>
            <w:tcBorders>
              <w:top w:val="single" w:sz="4" w:space="0" w:color="auto"/>
              <w:left w:val="single" w:sz="4" w:space="0" w:color="auto"/>
              <w:bottom w:val="single" w:sz="4" w:space="0" w:color="auto"/>
              <w:right w:val="single" w:sz="4" w:space="0" w:color="auto"/>
            </w:tcBorders>
          </w:tcPr>
          <w:p w14:paraId="169B87DB" w14:textId="7D77D535" w:rsidR="00DA53E8" w:rsidRPr="0075139C" w:rsidRDefault="00DA53E8" w:rsidP="00DA53E8">
            <w:pPr>
              <w:spacing w:after="0" w:line="240" w:lineRule="auto"/>
              <w:jc w:val="center"/>
              <w:rPr>
                <w:rFonts w:ascii="Times New Roman" w:hAnsi="Times New Roman"/>
                <w:shd w:val="clear" w:color="auto" w:fill="FFFFFF"/>
              </w:rPr>
            </w:pPr>
            <w:r w:rsidRPr="0075139C">
              <w:rPr>
                <w:rFonts w:ascii="Times New Roman" w:hAnsi="Times New Roman"/>
                <w:b/>
                <w:bCs/>
                <w:caps/>
                <w:lang w:val="en-US"/>
              </w:rPr>
              <w:t>40</w:t>
            </w:r>
          </w:p>
        </w:tc>
        <w:tc>
          <w:tcPr>
            <w:tcW w:w="7087" w:type="dxa"/>
          </w:tcPr>
          <w:p w14:paraId="67B7AD1B" w14:textId="77777777" w:rsidR="00DA53E8" w:rsidRPr="0075139C" w:rsidRDefault="00DA53E8" w:rsidP="00DA53E8">
            <w:pPr>
              <w:spacing w:after="0" w:line="240" w:lineRule="auto"/>
              <w:jc w:val="center"/>
              <w:rPr>
                <w:rFonts w:ascii="Times New Roman" w:hAnsi="Times New Roman"/>
                <w:shd w:val="clear" w:color="auto" w:fill="FFFFFF"/>
              </w:rPr>
            </w:pPr>
          </w:p>
        </w:tc>
      </w:tr>
    </w:tbl>
    <w:p w14:paraId="7AE63755" w14:textId="77777777" w:rsidR="00980E79" w:rsidRPr="0075139C" w:rsidRDefault="00980E79" w:rsidP="00200DFD">
      <w:pPr>
        <w:spacing w:after="0" w:line="240" w:lineRule="auto"/>
        <w:jc w:val="center"/>
        <w:rPr>
          <w:rFonts w:ascii="Times New Roman" w:hAnsi="Times New Roman"/>
          <w:b/>
          <w:bCs/>
          <w:sz w:val="24"/>
          <w:szCs w:val="24"/>
          <w:highlight w:val="lightGray"/>
          <w:shd w:val="clear" w:color="auto" w:fill="FFFFFF"/>
          <w:lang w:val="fi-FI" w:eastAsia="lt-LT"/>
        </w:rPr>
      </w:pPr>
    </w:p>
    <w:p w14:paraId="6FD2ADE8" w14:textId="77777777" w:rsidR="00CD20BB" w:rsidRPr="0075139C" w:rsidRDefault="00CD20BB" w:rsidP="00200DFD">
      <w:pPr>
        <w:spacing w:after="0" w:line="240" w:lineRule="auto"/>
        <w:jc w:val="center"/>
        <w:rPr>
          <w:rFonts w:ascii="Times New Roman" w:hAnsi="Times New Roman"/>
          <w:b/>
          <w:bCs/>
          <w:sz w:val="24"/>
          <w:szCs w:val="24"/>
          <w:highlight w:val="lightGray"/>
          <w:shd w:val="clear" w:color="auto" w:fill="FFFFFF"/>
          <w:lang w:eastAsia="lt-LT"/>
        </w:rPr>
      </w:pPr>
    </w:p>
    <w:p w14:paraId="46CECD74" w14:textId="77777777" w:rsidR="00200509" w:rsidRPr="0075139C" w:rsidRDefault="00200509">
      <w:pPr>
        <w:rPr>
          <w:rFonts w:ascii="Times New Roman" w:hAnsi="Times New Roman"/>
          <w:sz w:val="24"/>
          <w:szCs w:val="24"/>
        </w:rPr>
      </w:pPr>
    </w:p>
    <w:sectPr w:rsidR="00200509" w:rsidRPr="0075139C" w:rsidSect="00F20B1C">
      <w:pgSz w:w="16838" w:h="11906" w:orient="landscape"/>
      <w:pgMar w:top="568"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D7C"/>
    <w:multiLevelType w:val="multilevel"/>
    <w:tmpl w:val="0D50072C"/>
    <w:lvl w:ilvl="0">
      <w:start w:val="1"/>
      <w:numFmt w:val="decimal"/>
      <w:lvlText w:val="%1."/>
      <w:lvlJc w:val="left"/>
      <w:pPr>
        <w:ind w:left="468" w:hanging="468"/>
      </w:pPr>
      <w:rPr>
        <w:rFonts w:hint="default"/>
      </w:rPr>
    </w:lvl>
    <w:lvl w:ilvl="1">
      <w:start w:val="1"/>
      <w:numFmt w:val="decimal"/>
      <w:lvlText w:val="%1.%2."/>
      <w:lvlJc w:val="left"/>
      <w:pPr>
        <w:ind w:left="519" w:hanging="468"/>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386" w:hanging="108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848" w:hanging="1440"/>
      </w:pPr>
      <w:rPr>
        <w:rFonts w:hint="default"/>
      </w:rPr>
    </w:lvl>
  </w:abstractNum>
  <w:abstractNum w:abstractNumId="1" w15:restartNumberingAfterBreak="0">
    <w:nsid w:val="2C0B5EA1"/>
    <w:multiLevelType w:val="hybridMultilevel"/>
    <w:tmpl w:val="2EEC7806"/>
    <w:lvl w:ilvl="0" w:tplc="178CAC3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825ED4"/>
    <w:multiLevelType w:val="multilevel"/>
    <w:tmpl w:val="D9F633F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984501">
    <w:abstractNumId w:val="2"/>
  </w:num>
  <w:num w:numId="2" w16cid:durableId="1919974605">
    <w:abstractNumId w:val="0"/>
  </w:num>
  <w:num w:numId="3" w16cid:durableId="1784377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10E8B"/>
    <w:rsid w:val="00013E7A"/>
    <w:rsid w:val="0002343E"/>
    <w:rsid w:val="000445C7"/>
    <w:rsid w:val="000452BC"/>
    <w:rsid w:val="00072838"/>
    <w:rsid w:val="0009727E"/>
    <w:rsid w:val="0009781E"/>
    <w:rsid w:val="000A74A2"/>
    <w:rsid w:val="000B388B"/>
    <w:rsid w:val="000C2DA3"/>
    <w:rsid w:val="000D08BA"/>
    <w:rsid w:val="000D7CB0"/>
    <w:rsid w:val="000E4E8D"/>
    <w:rsid w:val="00107024"/>
    <w:rsid w:val="0011510A"/>
    <w:rsid w:val="00125C10"/>
    <w:rsid w:val="00125DE8"/>
    <w:rsid w:val="001845A1"/>
    <w:rsid w:val="00185BD5"/>
    <w:rsid w:val="001935F0"/>
    <w:rsid w:val="0019508A"/>
    <w:rsid w:val="001A66DC"/>
    <w:rsid w:val="001D140E"/>
    <w:rsid w:val="00200509"/>
    <w:rsid w:val="00200DFD"/>
    <w:rsid w:val="002034D7"/>
    <w:rsid w:val="00203B6F"/>
    <w:rsid w:val="00217CAC"/>
    <w:rsid w:val="0022110A"/>
    <w:rsid w:val="0023013F"/>
    <w:rsid w:val="00280051"/>
    <w:rsid w:val="00282FCD"/>
    <w:rsid w:val="002A592E"/>
    <w:rsid w:val="002B702A"/>
    <w:rsid w:val="002C6651"/>
    <w:rsid w:val="002D7556"/>
    <w:rsid w:val="002E5CD6"/>
    <w:rsid w:val="003051B5"/>
    <w:rsid w:val="003104FD"/>
    <w:rsid w:val="00314208"/>
    <w:rsid w:val="00330792"/>
    <w:rsid w:val="0033202C"/>
    <w:rsid w:val="0034691A"/>
    <w:rsid w:val="0036419B"/>
    <w:rsid w:val="003643C7"/>
    <w:rsid w:val="00381B98"/>
    <w:rsid w:val="00387842"/>
    <w:rsid w:val="003C05A1"/>
    <w:rsid w:val="003E06AE"/>
    <w:rsid w:val="003E6E50"/>
    <w:rsid w:val="003F17A9"/>
    <w:rsid w:val="00412888"/>
    <w:rsid w:val="00447033"/>
    <w:rsid w:val="00450E1E"/>
    <w:rsid w:val="004B0CBE"/>
    <w:rsid w:val="004B3925"/>
    <w:rsid w:val="004C0742"/>
    <w:rsid w:val="004D3B9F"/>
    <w:rsid w:val="004F5331"/>
    <w:rsid w:val="004F6B2A"/>
    <w:rsid w:val="00523475"/>
    <w:rsid w:val="00526DFC"/>
    <w:rsid w:val="0053282D"/>
    <w:rsid w:val="00567292"/>
    <w:rsid w:val="005A13B8"/>
    <w:rsid w:val="005E0CA1"/>
    <w:rsid w:val="00603672"/>
    <w:rsid w:val="00630FA2"/>
    <w:rsid w:val="006478FF"/>
    <w:rsid w:val="00666630"/>
    <w:rsid w:val="0067217D"/>
    <w:rsid w:val="00673FB1"/>
    <w:rsid w:val="006A3157"/>
    <w:rsid w:val="006A49D6"/>
    <w:rsid w:val="006B1301"/>
    <w:rsid w:val="006D6ACE"/>
    <w:rsid w:val="006E3E96"/>
    <w:rsid w:val="006E773E"/>
    <w:rsid w:val="006F263E"/>
    <w:rsid w:val="006F2EB9"/>
    <w:rsid w:val="00703B95"/>
    <w:rsid w:val="00711165"/>
    <w:rsid w:val="00716215"/>
    <w:rsid w:val="007340C2"/>
    <w:rsid w:val="00735A18"/>
    <w:rsid w:val="0075139C"/>
    <w:rsid w:val="007649D6"/>
    <w:rsid w:val="00764B21"/>
    <w:rsid w:val="007964B0"/>
    <w:rsid w:val="007E105C"/>
    <w:rsid w:val="00803B77"/>
    <w:rsid w:val="00813999"/>
    <w:rsid w:val="0086603F"/>
    <w:rsid w:val="008820A4"/>
    <w:rsid w:val="0089081A"/>
    <w:rsid w:val="008A4A1E"/>
    <w:rsid w:val="008A65A6"/>
    <w:rsid w:val="008B0516"/>
    <w:rsid w:val="008C74C9"/>
    <w:rsid w:val="008E240E"/>
    <w:rsid w:val="008F30DF"/>
    <w:rsid w:val="008F747C"/>
    <w:rsid w:val="009142B5"/>
    <w:rsid w:val="0093292E"/>
    <w:rsid w:val="009648AC"/>
    <w:rsid w:val="0096561F"/>
    <w:rsid w:val="0097480B"/>
    <w:rsid w:val="00980E79"/>
    <w:rsid w:val="00984F61"/>
    <w:rsid w:val="009854FE"/>
    <w:rsid w:val="009A2104"/>
    <w:rsid w:val="009D1172"/>
    <w:rsid w:val="00A11136"/>
    <w:rsid w:val="00A16224"/>
    <w:rsid w:val="00A1794E"/>
    <w:rsid w:val="00A31165"/>
    <w:rsid w:val="00A377A9"/>
    <w:rsid w:val="00A52227"/>
    <w:rsid w:val="00A639ED"/>
    <w:rsid w:val="00AB19E5"/>
    <w:rsid w:val="00AD3107"/>
    <w:rsid w:val="00AD529F"/>
    <w:rsid w:val="00AE7592"/>
    <w:rsid w:val="00B2168C"/>
    <w:rsid w:val="00B22F23"/>
    <w:rsid w:val="00B528F3"/>
    <w:rsid w:val="00B576A7"/>
    <w:rsid w:val="00B609E2"/>
    <w:rsid w:val="00B6394D"/>
    <w:rsid w:val="00B67854"/>
    <w:rsid w:val="00B716CA"/>
    <w:rsid w:val="00B71A0C"/>
    <w:rsid w:val="00B84A10"/>
    <w:rsid w:val="00BA3784"/>
    <w:rsid w:val="00BA480C"/>
    <w:rsid w:val="00BC0904"/>
    <w:rsid w:val="00BE0DD2"/>
    <w:rsid w:val="00C023A2"/>
    <w:rsid w:val="00C15EFB"/>
    <w:rsid w:val="00C52F03"/>
    <w:rsid w:val="00C61518"/>
    <w:rsid w:val="00C61663"/>
    <w:rsid w:val="00C76D07"/>
    <w:rsid w:val="00C80895"/>
    <w:rsid w:val="00C83759"/>
    <w:rsid w:val="00C9133C"/>
    <w:rsid w:val="00CA4ECB"/>
    <w:rsid w:val="00CA4FE3"/>
    <w:rsid w:val="00CB6245"/>
    <w:rsid w:val="00CD00E7"/>
    <w:rsid w:val="00CD20BB"/>
    <w:rsid w:val="00CE7E22"/>
    <w:rsid w:val="00D0527C"/>
    <w:rsid w:val="00D06822"/>
    <w:rsid w:val="00D106F4"/>
    <w:rsid w:val="00D10CA7"/>
    <w:rsid w:val="00D94834"/>
    <w:rsid w:val="00DA53E8"/>
    <w:rsid w:val="00DC2ED5"/>
    <w:rsid w:val="00DC2F2A"/>
    <w:rsid w:val="00DD181D"/>
    <w:rsid w:val="00DE0108"/>
    <w:rsid w:val="00E2045D"/>
    <w:rsid w:val="00E50609"/>
    <w:rsid w:val="00E65A3D"/>
    <w:rsid w:val="00ED632A"/>
    <w:rsid w:val="00EE3B6B"/>
    <w:rsid w:val="00EE75FA"/>
    <w:rsid w:val="00EF2287"/>
    <w:rsid w:val="00F162D7"/>
    <w:rsid w:val="00F20B1C"/>
    <w:rsid w:val="00F22690"/>
    <w:rsid w:val="00F3110D"/>
    <w:rsid w:val="00F336DC"/>
    <w:rsid w:val="00F3439A"/>
    <w:rsid w:val="00F6758B"/>
    <w:rsid w:val="00F708A0"/>
    <w:rsid w:val="00F775EE"/>
    <w:rsid w:val="00F81026"/>
    <w:rsid w:val="00F87896"/>
    <w:rsid w:val="00F949AF"/>
    <w:rsid w:val="00FC1F4C"/>
    <w:rsid w:val="00FD5CB2"/>
    <w:rsid w:val="00FF686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73D"/>
  <w15:docId w15:val="{56CE9C8D-4E68-4FC2-8137-36097FF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8F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4C9"/>
    <w:pPr>
      <w:ind w:left="720"/>
      <w:contextualSpacing/>
    </w:pPr>
  </w:style>
  <w:style w:type="character" w:styleId="Vietosrezervavimoenklotekstas">
    <w:name w:val="Placeholder Text"/>
    <w:basedOn w:val="Numatytasispastraiposriftas"/>
    <w:uiPriority w:val="99"/>
    <w:semiHidden/>
    <w:rsid w:val="00803B77"/>
    <w:rPr>
      <w:color w:val="808080"/>
    </w:rPr>
  </w:style>
  <w:style w:type="paragraph" w:customStyle="1" w:styleId="Default">
    <w:name w:val="Default"/>
    <w:rsid w:val="0060367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E3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B6B"/>
    <w:rPr>
      <w:rFonts w:ascii="Tahoma" w:eastAsia="Calibri" w:hAnsi="Tahoma" w:cs="Tahoma"/>
      <w:sz w:val="16"/>
      <w:szCs w:val="16"/>
    </w:rPr>
  </w:style>
  <w:style w:type="paragraph" w:styleId="prastasiniatinklio">
    <w:name w:val="Normal (Web)"/>
    <w:basedOn w:val="prastasis"/>
    <w:uiPriority w:val="99"/>
    <w:rsid w:val="00C023A2"/>
    <w:pPr>
      <w:spacing w:before="120" w:after="120" w:line="300" w:lineRule="atLeast"/>
    </w:pPr>
    <w:rPr>
      <w:rFonts w:ascii="Times New Roman" w:eastAsia="Times New Roman" w:hAnsi="Times New Roman"/>
      <w:sz w:val="24"/>
      <w:szCs w:val="20"/>
      <w:lang w:eastAsia="lt-LT"/>
    </w:rPr>
  </w:style>
  <w:style w:type="character" w:styleId="Hipersaitas">
    <w:name w:val="Hyperlink"/>
    <w:uiPriority w:val="99"/>
    <w:unhideWhenUsed/>
    <w:rsid w:val="009A2104"/>
    <w:rPr>
      <w:color w:val="0000FF"/>
      <w:u w:val="single"/>
    </w:rPr>
  </w:style>
  <w:style w:type="character" w:styleId="Komentaronuoroda">
    <w:name w:val="annotation reference"/>
    <w:basedOn w:val="Numatytasispastraiposriftas"/>
    <w:uiPriority w:val="99"/>
    <w:semiHidden/>
    <w:unhideWhenUsed/>
    <w:rsid w:val="00666630"/>
    <w:rPr>
      <w:sz w:val="16"/>
      <w:szCs w:val="16"/>
    </w:rPr>
  </w:style>
  <w:style w:type="paragraph" w:styleId="Komentarotekstas">
    <w:name w:val="annotation text"/>
    <w:basedOn w:val="prastasis"/>
    <w:link w:val="KomentarotekstasDiagrama"/>
    <w:uiPriority w:val="99"/>
    <w:semiHidden/>
    <w:unhideWhenUsed/>
    <w:rsid w:val="0066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663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6630"/>
    <w:rPr>
      <w:b/>
      <w:bCs/>
    </w:rPr>
  </w:style>
  <w:style w:type="character" w:customStyle="1" w:styleId="KomentarotemaDiagrama">
    <w:name w:val="Komentaro tema Diagrama"/>
    <w:basedOn w:val="KomentarotekstasDiagrama"/>
    <w:link w:val="Komentarotema"/>
    <w:uiPriority w:val="99"/>
    <w:semiHidden/>
    <w:rsid w:val="00666630"/>
    <w:rPr>
      <w:rFonts w:ascii="Calibri" w:eastAsia="Calibri" w:hAnsi="Calibri" w:cs="Times New Roman"/>
      <w:b/>
      <w:bCs/>
      <w:sz w:val="20"/>
      <w:szCs w:val="20"/>
    </w:rPr>
  </w:style>
  <w:style w:type="table" w:styleId="Lentelstinklelis">
    <w:name w:val="Table Grid"/>
    <w:basedOn w:val="prastojilentel"/>
    <w:uiPriority w:val="59"/>
    <w:rsid w:val="00200509"/>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
    <w:name w:val="Pagrindinis tekstas_"/>
    <w:basedOn w:val="Numatytasispastraiposriftas"/>
    <w:link w:val="Pagrindinistekstas18"/>
    <w:locked/>
    <w:rsid w:val="00C61663"/>
    <w:rPr>
      <w:rFonts w:ascii="Times New Roman" w:eastAsia="Times New Roman" w:hAnsi="Times New Roman" w:cs="Times New Roman"/>
      <w:sz w:val="23"/>
      <w:szCs w:val="23"/>
      <w:shd w:val="clear" w:color="auto" w:fill="FFFFFF"/>
    </w:rPr>
  </w:style>
  <w:style w:type="paragraph" w:customStyle="1" w:styleId="Pagrindinistekstas18">
    <w:name w:val="Pagrindinis tekstas18"/>
    <w:basedOn w:val="prastasis"/>
    <w:link w:val="Pagrindinistekstas"/>
    <w:rsid w:val="00C61663"/>
    <w:pPr>
      <w:shd w:val="clear" w:color="auto" w:fill="FFFFFF"/>
      <w:spacing w:after="0" w:line="274" w:lineRule="exact"/>
    </w:pPr>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Pages>
  <Words>3556</Words>
  <Characters>2028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Helena Naglazienė</cp:lastModifiedBy>
  <cp:revision>116</cp:revision>
  <dcterms:created xsi:type="dcterms:W3CDTF">2020-02-13T12:01:00Z</dcterms:created>
  <dcterms:modified xsi:type="dcterms:W3CDTF">2026-05-12T13:31:00Z</dcterms:modified>
</cp:coreProperties>
</file>